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Types>
</file>

<file path=_rels/.rels>&#65279;<?xml version="1.0" encoding="utf-8"?><Relationships xmlns="http://schemas.openxmlformats.org/package/2006/relationships"><Relationship Id="R1" Type="http://schemas.openxmlformats.org/officeDocument/2006/relationships/officeDocument" Target="/word/document.xml" /><Relationship Id="coreR1" Type="http://schemas.openxmlformats.org/package/2006/relationships/metadata/core-properties" Target="/docProps/core.xml" /><Relationship Id="appR1" Type="http://schemas.openxmlformats.org/officeDocument/2006/relationships/extended-properties" Target="/docProps/app.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body>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4962"/>
        <w:jc w:val="both"/>
        <w:rPr>
          <w:rFonts w:ascii="Times New Roman" w:hAnsi="Times New Roman"/>
          <w:sz w:val="28"/>
          <w:szCs w:val="28"/>
          <w:lang w:eastAsia="uk-UA"/>
        </w:rPr>
      </w:pPr>
      <w:r>
        <w:rPr>
          <w:rFonts w:ascii="Times New Roman" w:hAnsi="Times New Roman"/>
          <w:sz w:val="28"/>
          <w:szCs w:val="28"/>
          <w:lang w:eastAsia="uk-UA"/>
        </w:rPr>
        <w:t>Додаток 2</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4962"/>
        <w:jc w:val="both"/>
        <w:rPr>
          <w:rFonts w:ascii="Times New Roman" w:hAnsi="Times New Roman"/>
          <w:sz w:val="28"/>
          <w:szCs w:val="28"/>
          <w:lang w:eastAsia="uk-UA"/>
        </w:rPr>
      </w:pPr>
      <w:r>
        <w:rPr>
          <w:rFonts w:ascii="Times New Roman" w:hAnsi="Times New Roman"/>
          <w:sz w:val="28"/>
          <w:szCs w:val="28"/>
          <w:lang w:eastAsia="uk-UA"/>
        </w:rPr>
        <w:t xml:space="preserve">до Порядку державної реєстрації та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hanging="33" w:left="4995"/>
        <w:jc w:val="both"/>
        <w:rPr>
          <w:rFonts w:ascii="Times New Roman" w:hAnsi="Times New Roman"/>
          <w:sz w:val="28"/>
          <w:szCs w:val="28"/>
          <w:lang w:eastAsia="uk-UA"/>
        </w:rPr>
      </w:pPr>
      <w:r>
        <w:rPr>
          <w:rFonts w:ascii="Times New Roman" w:hAnsi="Times New Roman"/>
          <w:sz w:val="28"/>
          <w:szCs w:val="28"/>
          <w:lang w:eastAsia="uk-UA"/>
        </w:rPr>
        <w:t>обліку науков</w:t>
      </w:r>
      <w:r>
        <w:rPr>
          <w:rFonts w:ascii="Times New Roman" w:hAnsi="Times New Roman"/>
          <w:smallCaps w:val="0"/>
          <w:sz w:val="28"/>
          <w:szCs w:val="22"/>
          <w:cs w:val="0"/>
          <w:spacing w:val="0"/>
          <w:w w:val="100"/>
          <w:position w:val="0"/>
          <w:snapToGrid w:val="1"/>
          <w:lang w:eastAsia="uk-UA"/>
        </w:rPr>
        <w:t>о-дослідних, дослідно-</w:t>
      </w:r>
      <w:r>
        <w:rPr>
          <w:rFonts w:ascii="Times New Roman" w:hAnsi="Times New Roman"/>
          <w:smallCaps w:val="0"/>
          <w:sz w:val="28"/>
          <w:szCs w:val="22"/>
          <w:cs w:val="0"/>
          <w:spacing w:val="0"/>
          <w:w w:val="100"/>
          <w:position w:val="0"/>
          <w:snapToGrid w:val="1"/>
          <w:lang w:eastAsia="uk-UA"/>
        </w:rPr>
        <w:t>конструкторських</w:t>
      </w:r>
      <w:r>
        <w:rPr>
          <w:rFonts w:ascii="Times New Roman" w:hAnsi="Times New Roman"/>
          <w:sz w:val="28"/>
          <w:szCs w:val="28"/>
          <w:lang w:eastAsia="uk-UA"/>
        </w:rPr>
        <w:t xml:space="preserve"> </w:t>
      </w:r>
      <w:r>
        <w:rPr>
          <w:rFonts w:ascii="Times New Roman" w:hAnsi="Times New Roman"/>
          <w:sz w:val="28"/>
          <w:szCs w:val="28"/>
          <w:lang w:eastAsia="uk-UA"/>
        </w:rPr>
        <w:t xml:space="preserve">робіт </w:t>
      </w:r>
      <w:r>
        <w:rPr>
          <w:rFonts w:ascii="Times New Roman" w:hAnsi="Times New Roman"/>
          <w:smallCaps w:val="0"/>
          <w:sz w:val="28"/>
          <w:szCs w:val="22"/>
          <w:cs w:val="0"/>
          <w:spacing w:val="0"/>
          <w:w w:val="100"/>
          <w:position w:val="0"/>
          <w:snapToGrid w:val="1"/>
          <w:lang w:eastAsia="uk-UA"/>
        </w:rPr>
        <w:t>і</w:t>
      </w:r>
      <w:r>
        <w:rPr>
          <w:rFonts w:ascii="Times New Roman" w:hAnsi="Times New Roman"/>
          <w:sz w:val="28"/>
          <w:szCs w:val="28"/>
          <w:lang w:eastAsia="uk-UA"/>
        </w:rPr>
        <w:t xml:space="preserve"> дисертацій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4962"/>
        <w:jc w:val="both"/>
        <w:rPr>
          <w:rFonts w:ascii="Times New Roman" w:hAnsi="Times New Roman"/>
          <w:sz w:val="28"/>
          <w:szCs w:val="28"/>
          <w:lang w:eastAsia="uk-UA"/>
        </w:rPr>
      </w:pPr>
      <w:r>
        <w:rPr>
          <w:rFonts w:ascii="Times New Roman" w:hAnsi="Times New Roman"/>
          <w:smallCaps w:val="0"/>
          <w:sz w:val="28"/>
          <w:szCs w:val="22"/>
          <w:cs w:val="0"/>
          <w:spacing w:val="0"/>
          <w:w w:val="100"/>
          <w:position w:val="0"/>
          <w:snapToGrid w:val="1"/>
          <w:lang w:eastAsia="uk-UA"/>
        </w:rPr>
        <w:t>(пункт 6 розділу 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center"/>
        <w:rPr>
          <w:rFonts w:ascii="Times New Roman" w:hAnsi="Times New Roman"/>
          <w:b w:val="1"/>
          <w:sz w:val="28"/>
          <w:szCs w:val="28"/>
          <w:lang w:eastAsia="uk-UA"/>
        </w:rPr>
      </w:pPr>
      <w:r>
        <w:rPr>
          <w:rFonts w:ascii="Times New Roman" w:hAnsi="Times New Roman"/>
          <w:b w:val="1"/>
          <w:sz w:val="28"/>
          <w:szCs w:val="28"/>
          <w:lang w:eastAsia="uk-UA"/>
        </w:rPr>
        <w:t>ІНСТРУКЦІЯ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center"/>
        <w:rPr>
          <w:rFonts w:ascii="Times New Roman" w:hAnsi="Times New Roman"/>
          <w:b w:val="1"/>
          <w:sz w:val="28"/>
          <w:szCs w:val="28"/>
          <w:lang w:eastAsia="uk-UA"/>
        </w:rPr>
      </w:pPr>
      <w:r>
        <w:rPr>
          <w:rFonts w:ascii="Times New Roman" w:hAnsi="Times New Roman"/>
          <w:b w:val="1"/>
          <w:sz w:val="28"/>
          <w:szCs w:val="28"/>
          <w:lang w:eastAsia="uk-UA"/>
        </w:rPr>
        <w:t>з оформлення та внесення змін у реєстраційну картку науков</w:t>
      </w:r>
      <w:r>
        <w:rPr>
          <w:rFonts w:ascii="Times New Roman" w:hAnsi="Times New Roman"/>
          <w:b w:val="1"/>
          <w:smallCaps w:val="0"/>
          <w:sz w:val="28"/>
          <w:szCs w:val="22"/>
          <w:cs w:val="0"/>
          <w:spacing w:val="0"/>
          <w:w w:val="100"/>
          <w:position w:val="0"/>
          <w:snapToGrid w:val="1"/>
          <w:lang w:eastAsia="uk-UA"/>
        </w:rPr>
        <w:t>о-дослідних</w:t>
      </w:r>
      <w:r>
        <w:rPr>
          <w:rFonts w:ascii="Times New Roman" w:hAnsi="Times New Roman"/>
          <w:b w:val="1"/>
          <w:smallCaps w:val="0"/>
          <w:sz w:val="28"/>
          <w:szCs w:val="22"/>
          <w:cs w:val="0"/>
          <w:spacing w:val="0"/>
          <w:w w:val="100"/>
          <w:position w:val="0"/>
          <w:snapToGrid w:val="1"/>
          <w:lang w:eastAsia="uk-UA"/>
        </w:rPr>
        <w:t>,</w:t>
      </w:r>
      <w:r>
        <w:rPr>
          <w:rFonts w:ascii="Times New Roman" w:hAnsi="Times New Roman"/>
          <w:b w:val="1"/>
          <w:sz w:val="28"/>
          <w:szCs w:val="28"/>
          <w:lang w:eastAsia="uk-UA"/>
        </w:rPr>
        <w:t xml:space="preserve"> </w:t>
      </w:r>
      <w:r>
        <w:rPr>
          <w:rFonts w:ascii="Times New Roman" w:hAnsi="Times New Roman"/>
          <w:b w:val="1"/>
          <w:smallCaps w:val="0"/>
          <w:sz w:val="28"/>
          <w:szCs w:val="22"/>
          <w:cs w:val="0"/>
          <w:spacing w:val="0"/>
          <w:w w:val="100"/>
          <w:position w:val="0"/>
          <w:snapToGrid w:val="1"/>
          <w:lang w:eastAsia="uk-UA"/>
        </w:rPr>
        <w:t>дослідно-конструкторськи</w:t>
      </w:r>
      <w:r>
        <w:rPr>
          <w:rFonts w:ascii="Times New Roman" w:hAnsi="Times New Roman"/>
          <w:b w:val="1"/>
          <w:smallCaps w:val="0"/>
          <w:sz w:val="28"/>
          <w:szCs w:val="22"/>
          <w:cs w:val="0"/>
          <w:spacing w:val="0"/>
          <w:w w:val="100"/>
          <w:position w:val="0"/>
          <w:snapToGrid w:val="1"/>
          <w:lang w:eastAsia="uk-UA"/>
        </w:rPr>
        <w:t xml:space="preserve">х </w:t>
      </w:r>
      <w:r>
        <w:rPr>
          <w:rFonts w:ascii="Times New Roman" w:hAnsi="Times New Roman"/>
          <w:b w:val="1"/>
          <w:sz w:val="28"/>
          <w:szCs w:val="28"/>
          <w:lang w:eastAsia="uk-UA"/>
        </w:rPr>
        <w:t>робіт (РК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Під час заповнення картки слід ретельно дотримуватися формату відповідного поля.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Усі поля заповнюються українською мовою, крім тих, де вказано про необхідність надання інформації англійською мовою.</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Для заповнення полів з інформацією про юридичних та фізичних осіб Системою 1 в автоматичному режимі надаються довідники (організацій, країн, областей, відомчих установ, персон тощо) з можливістю пошуку інформації.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Для заповнення полів з інформацією про керівників організацій та ДіР надається довідник персон з можливістю пошуку інформації.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Інформація про  нову фізичну або юридичну особу додається виключно у випадку відсутності її у довіднику.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полях РК ДіР зазначаються такі дані: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sz w:val="28"/>
          <w:szCs w:val="28"/>
          <w:lang w:eastAsia="uk-UA"/>
        </w:rPr>
      </w:pPr>
      <w:r>
        <w:rPr>
          <w:rFonts w:ascii="Times New Roman" w:hAnsi="Times New Roman"/>
          <w:b w:val="1"/>
          <w:sz w:val="28"/>
          <w:szCs w:val="28"/>
          <w:lang w:eastAsia="uk-UA"/>
        </w:rPr>
        <w:t>1. Загальні відомості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val="ru-RU"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w:t>
      </w:r>
      <w:r>
        <w:rPr>
          <w:rFonts w:ascii="Times New Roman" w:hAnsi="Times New Roman"/>
          <w:sz w:val="28"/>
          <w:szCs w:val="28"/>
          <w:lang w:val="ru-RU" w:eastAsia="uk-UA"/>
        </w:rPr>
        <w:t xml:space="preserve"> </w:t>
      </w:r>
      <w:r>
        <w:rPr>
          <w:rFonts w:ascii="Times New Roman" w:hAnsi="Times New Roman"/>
          <w:sz w:val="28"/>
          <w:szCs w:val="28"/>
          <w:lang w:eastAsia="uk-UA"/>
        </w:rPr>
        <w:t xml:space="preserve">«Державний реєстраційний номер» – проставляється в УкрІНТЕІ.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«Особливі позначки» – зазначається режим доступу до інформації, що міститься у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«Відкрита»;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«Для службового користування»;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«Таємно»;</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«Цілком таємно».</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У полі «Дата реєстрації» – зазначається УкрІНТЕІ день, місяць та рік </w:t>
      </w:r>
      <w:r>
        <w:rPr>
          <w:rFonts w:ascii="Times New Roman" w:hAnsi="Times New Roman"/>
          <w:color w:val="000000"/>
          <w:sz w:val="28"/>
          <w:szCs w:val="28"/>
          <w:lang w:eastAsia="uk-UA"/>
        </w:rPr>
        <w:t xml:space="preserve">присвоєння РК ДіР </w:t>
      </w:r>
      <w:bookmarkStart w:id="0" w:name="_GoBack"/>
      <w:bookmarkEnd w:id="0"/>
      <w:r>
        <w:rPr>
          <w:rFonts w:ascii="Times New Roman" w:hAnsi="Times New Roman"/>
          <w:color w:val="000000"/>
          <w:sz w:val="28"/>
          <w:szCs w:val="28"/>
          <w:lang w:eastAsia="uk-UA"/>
        </w:rPr>
        <w:t>статусу «Зареєстрована»</w:t>
      </w:r>
      <w:r>
        <w:rPr>
          <w:rFonts w:ascii="Times New Roman" w:hAnsi="Times New Roman"/>
          <w:sz w:val="28"/>
          <w:szCs w:val="28"/>
          <w:lang w:eastAsia="uk-UA"/>
        </w:rPr>
        <w:t>. Дата проставляється відповідно до вимог Типової інструкції з діловодства в міністерствах, інших центральних та місцевих органах виконавчої влади, затвердженої постановою Кабінету Міністрів України «Деякі питання документування управлінської діяльності» від 17 січня 2018 р</w:t>
      </w:r>
      <w:r>
        <w:rPr>
          <w:rFonts w:ascii="Times New Roman" w:hAnsi="Times New Roman"/>
          <w:smallCaps w:val="0"/>
          <w:sz w:val="28"/>
          <w:szCs w:val="22"/>
          <w:cs w:val="0"/>
          <w:spacing w:val="0"/>
          <w:w w:val="100"/>
          <w:position w:val="0"/>
          <w:snapToGrid w:val="1"/>
          <w:lang w:eastAsia="uk-UA"/>
        </w:rPr>
        <w:t>оку</w:t>
      </w:r>
      <w:r>
        <w:rPr>
          <w:rFonts w:ascii="Times New Roman" w:hAnsi="Times New Roman"/>
          <w:sz w:val="28"/>
          <w:szCs w:val="28"/>
          <w:lang w:eastAsia="uk-UA"/>
        </w:rPr>
        <w:t xml:space="preserve"> № 55.</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sz w:val="28"/>
          <w:szCs w:val="28"/>
          <w:lang w:eastAsia="uk-UA"/>
        </w:rPr>
      </w:pPr>
      <w:r>
        <w:rPr>
          <w:rFonts w:ascii="Times New Roman" w:hAnsi="Times New Roman"/>
          <w:b w:val="1"/>
          <w:sz w:val="28"/>
          <w:szCs w:val="28"/>
          <w:lang w:eastAsia="uk-UA"/>
        </w:rPr>
        <w:t>2. Підстава для проведення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«Підстава для проведення ДіР» – зазначається вид документу, на підставі якого було розпочато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договір (замовлення) з міністерством, іншим центральним органом виконавчої влади, академією наук (головним розпорядником бюджетних коштів на проведення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договір з вітчизняним підприємством, установою, організацією (фондом, асоціацією, концерном тощо);</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договір із закордонним змовником;</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val="en-US" w:eastAsia="uk-UA"/>
        </w:rPr>
        <w:t> </w:t>
      </w:r>
      <w:r>
        <w:rPr>
          <w:rFonts w:ascii="Times New Roman" w:hAnsi="Times New Roman"/>
          <w:sz w:val="28"/>
          <w:szCs w:val="28"/>
          <w:lang w:eastAsia="uk-UA"/>
        </w:rPr>
        <w:t>власна ініціатива (якщо ДіР виконується з власної ініціативи за кошти Виконавця або безкоштовно);</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договір з фізичною особою (якщо замовником ДіР виступає фізична особа, за рахунок коштів якої вона виконується).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«Напрям фінансування» – зазначається напрям фінансування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фундаментальні дослідження;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прикладні наукові дослідження і науково-технічні (експериментальні) розробки;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державні цільові наукові та науково-технічні програми;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науково-технічні (експериментальні) розробки, що виконуються за державним замовленням;</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проєкти, що виконуються у межах міжнародного науково-технічного співробітництва;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інші (вказати).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«Джерела фінансування» – зазначається джерело фінансування ДіР. Для виконання ДіР, для якої заповнюється РК ДіР, можуть бути задіяні декілька джерел фінансування. У такому випадку зазначаються усі джерела фінансування: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кошти загального фонду державного бюджету;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кошти спеціального фонду державного бюджету;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val="ru-RU" w:eastAsia="uk-UA"/>
        </w:rPr>
      </w:pPr>
      <w:r>
        <w:rPr>
          <w:rFonts w:ascii="Times New Roman" w:hAnsi="Times New Roman"/>
          <w:sz w:val="28"/>
          <w:szCs w:val="28"/>
          <w:lang w:eastAsia="uk-UA"/>
        </w:rPr>
        <w:t>кошти місцевого бюджету;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кошти підприємств, установ, організацій України;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кошти замовників іноземних держав;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власні кошти – кошти підприємства, установи, організації, фізичної особи на виконання ініціативних робіт;</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кошти інших джерел;</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безоплатно – проставляється, якщо ДіР проводяться безоплатно за договірними умовами (наприклад, договір про науково-технічне співробітництво тощо).</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«Код програмної класифікації видатків і кредитування (КПКВК)» – зазначається код бюджетної програми (код програмної класифікації видатків і кредитування), за якою виконується фінансування ДіР, якщо джерелом фінансування є кошти загального та / або спеціального фондів державного бюджету.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У полі «Загальний обсяг фінансування» – зазначається загальний обсяг фінансування у тисячах гривень </w:t>
      </w:r>
      <w:r>
        <w:rPr>
          <w:rFonts w:ascii="Times New Roman" w:hAnsi="Times New Roman"/>
          <w:color w:val="000000" w:themeColor="text1"/>
          <w:sz w:val="28"/>
          <w:szCs w:val="28"/>
          <w:lang w:eastAsia="uk-UA"/>
        </w:rPr>
        <w:t xml:space="preserve">(цифрами та прописом). </w:t>
      </w:r>
      <w:r>
        <w:rPr>
          <w:rFonts w:ascii="Times New Roman" w:hAnsi="Times New Roman"/>
          <w:sz w:val="28"/>
          <w:szCs w:val="28"/>
          <w:lang w:eastAsia="uk-UA"/>
        </w:rPr>
        <w:t xml:space="preserve">Також у полі «у тому числі по роках (тис. грн)» наводяться обсяги фінансування за роками в тисячах гривень </w:t>
      </w:r>
      <w:r>
        <w:rPr>
          <w:rFonts w:ascii="Times New Roman" w:hAnsi="Times New Roman"/>
          <w:color w:val="000000" w:themeColor="text1"/>
          <w:sz w:val="28"/>
          <w:szCs w:val="28"/>
          <w:lang w:eastAsia="uk-UA"/>
        </w:rPr>
        <w:t xml:space="preserve">(цифрами та прописом) </w:t>
      </w:r>
      <w:r>
        <w:rPr>
          <w:rFonts w:ascii="Times New Roman" w:hAnsi="Times New Roman"/>
          <w:sz w:val="28"/>
          <w:szCs w:val="28"/>
          <w:lang w:eastAsia="uk-UA"/>
        </w:rPr>
        <w:t>по кожному джерелу фінансування.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sz w:val="28"/>
          <w:szCs w:val="28"/>
          <w:lang w:eastAsia="uk-UA"/>
        </w:rPr>
      </w:pPr>
      <w:r>
        <w:rPr>
          <w:rFonts w:ascii="Times New Roman" w:hAnsi="Times New Roman"/>
          <w:b w:val="1"/>
          <w:sz w:val="28"/>
          <w:szCs w:val="28"/>
          <w:lang w:eastAsia="uk-UA"/>
        </w:rPr>
        <w:t>3. Відомості про Замовника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spacing w:val="-4"/>
          <w:lang w:eastAsia="uk-UA"/>
        </w:rPr>
      </w:pPr>
      <w:r>
        <w:rPr>
          <w:rFonts w:ascii="Times New Roman" w:hAnsi="Times New Roman"/>
          <w:sz w:val="28"/>
          <w:szCs w:val="28"/>
          <w:spacing w:val="-4"/>
          <w:lang w:eastAsia="uk-UA"/>
        </w:rPr>
        <w:t>У полі «Повне найменування юридичної особи (або Власне ім’я ПРІЗВИЩЕ)» – зазначається повне найменування Замовника, що є юридичною особою, або власне ім’я і прізвище Замовника, який є фізичною особою.</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«Код за ЄДРПОУ (ідентифікаційний номер або серія та номер паспорта)» – якщо Замовник є юридичною особою, зазначається ідентифікаційний код за Єдиним державним реєстром підприємств та організацій України; якщо Замовник є фізичною особою, зазначається ідентифікаційний номер за Державним реєстром фізичних осіб – платників податків та інших обов'язкових платежів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«Ідентифікатор ROR/ORCID ID» – якщо Замовник є юридичною особою, за наявності, зазначається цифровий ідентифікатор наукової установи ROR, отриманий у відкритому реєстрі постійних, унікальних цифрових ідентифікаторів дослідницьких організацій, які призначені для встановлення зв'язків між установами та результатами досліджень; якщо Замовник є фізичною особою, за наявності, зазначається його</w:t>
      </w:r>
      <w:r>
        <w:rPr>
          <w:rFonts w:ascii="Times New Roman" w:hAnsi="Times New Roman"/>
          <w:color w:val="FF0000"/>
          <w:sz w:val="28"/>
          <w:szCs w:val="28"/>
          <w:lang w:eastAsia="uk-UA"/>
        </w:rPr>
        <w:t xml:space="preserve"> </w:t>
      </w:r>
      <w:r>
        <w:rPr>
          <w:rFonts w:ascii="Times New Roman" w:hAnsi="Times New Roman"/>
          <w:sz w:val="28"/>
          <w:szCs w:val="28"/>
          <w:lang w:eastAsia="uk-UA"/>
        </w:rPr>
        <w:t>унікальний 16-значний номер відкритого ідентифікатора дослідника і автора досліджень ORCID ID. У випадку відсутності зазначених ідентифікаторів, у полі зазначається «не застосовується».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«Місцезнаходження (місце проживання)» – зазначається місцезнаходження/місце проживання (помешкання, будинок, вулиця, місто, район, область, поштовий індекс) Замовника.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w:t>
      </w:r>
      <w:r>
        <w:rPr>
          <w:rFonts w:ascii="Times New Roman" w:hAnsi="Times New Roman"/>
          <w:sz w:val="28"/>
          <w:szCs w:val="28"/>
          <w:lang w:val="ru-RU" w:eastAsia="uk-UA"/>
        </w:rPr>
        <w:t xml:space="preserve"> </w:t>
      </w:r>
      <w:r>
        <w:rPr>
          <w:rFonts w:ascii="Times New Roman" w:hAnsi="Times New Roman"/>
          <w:sz w:val="28"/>
          <w:szCs w:val="28"/>
          <w:lang w:eastAsia="uk-UA"/>
        </w:rPr>
        <w:t>«Форма власності» – обирається форма власності підприємства, установи, організації – Замовника: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21" w:left="0"/>
        <w:jc w:val="both"/>
        <w:rPr>
          <w:rFonts w:ascii="Times New Roman" w:hAnsi="Times New Roman"/>
          <w:sz w:val="28"/>
          <w:szCs w:val="28"/>
          <w:lang w:eastAsia="uk-UA"/>
        </w:rPr>
      </w:pPr>
      <w:r>
        <w:rPr>
          <w:rFonts w:ascii="Times New Roman" w:hAnsi="Times New Roman"/>
          <w:sz w:val="28"/>
          <w:szCs w:val="28"/>
          <w:lang w:eastAsia="uk-UA"/>
        </w:rPr>
        <w:t>державна;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21" w:left="0"/>
        <w:jc w:val="both"/>
        <w:rPr>
          <w:rFonts w:ascii="Times New Roman" w:hAnsi="Times New Roman"/>
          <w:sz w:val="28"/>
          <w:szCs w:val="28"/>
          <w:lang w:eastAsia="uk-UA"/>
        </w:rPr>
      </w:pPr>
      <w:r>
        <w:rPr>
          <w:rFonts w:ascii="Times New Roman" w:hAnsi="Times New Roman"/>
          <w:sz w:val="28"/>
          <w:szCs w:val="28"/>
          <w:lang w:eastAsia="uk-UA"/>
        </w:rPr>
        <w:t>комунальна;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720"/>
        <w:jc w:val="both"/>
        <w:rPr>
          <w:rFonts w:ascii="Times New Roman" w:hAnsi="Times New Roman"/>
          <w:sz w:val="28"/>
          <w:szCs w:val="28"/>
          <w:lang w:eastAsia="uk-UA"/>
        </w:rPr>
      </w:pPr>
      <w:r>
        <w:rPr>
          <w:rFonts w:ascii="Times New Roman" w:hAnsi="Times New Roman"/>
          <w:sz w:val="28"/>
          <w:szCs w:val="28"/>
          <w:lang w:eastAsia="uk-UA"/>
        </w:rPr>
        <w:t>приватна;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720"/>
        <w:jc w:val="both"/>
        <w:rPr>
          <w:rFonts w:ascii="Times New Roman" w:hAnsi="Times New Roman"/>
          <w:sz w:val="28"/>
          <w:szCs w:val="28"/>
          <w:lang w:eastAsia="uk-UA"/>
        </w:rPr>
      </w:pPr>
      <w:r>
        <w:rPr>
          <w:rFonts w:ascii="Times New Roman" w:hAnsi="Times New Roman"/>
          <w:sz w:val="28"/>
          <w:szCs w:val="28"/>
          <w:lang w:eastAsia="uk-UA"/>
        </w:rPr>
        <w:t>змішана.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У полі «Сфера управління» – зазначається назва  державного органу, до сфери управління якого належить підприємство, установа, організація – Замовник. Якщо Замовником є фізична особа, зазначається «не застосовується». Якщо у полі «Форма власності» зазначено «приватна», то у цьому полі зазначається «не застосовується».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«Розмір організації» – зазначається кількість штатних співробітників підприємства, установи, організації 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до 10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10-50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50-250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понад 250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w:t>
      </w:r>
      <w:r>
        <w:rPr>
          <w:rFonts w:ascii="Times New Roman" w:hAnsi="Times New Roman"/>
          <w:sz w:val="28"/>
          <w:szCs w:val="28"/>
          <w:lang w:val="ru-RU" w:eastAsia="uk-UA"/>
        </w:rPr>
        <w:t xml:space="preserve"> </w:t>
      </w:r>
      <w:r>
        <w:rPr>
          <w:rFonts w:ascii="Times New Roman" w:hAnsi="Times New Roman"/>
          <w:sz w:val="28"/>
          <w:szCs w:val="28"/>
          <w:lang w:eastAsia="uk-UA"/>
        </w:rPr>
        <w:t>«Контакти» – зазначаються номери телефонів, адреса електронної пошти, адреса вебсайту (за наявності) Замовника.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sz w:val="28"/>
          <w:szCs w:val="28"/>
          <w:lang w:eastAsia="uk-UA"/>
        </w:rPr>
      </w:pPr>
      <w:r>
        <w:rPr>
          <w:rFonts w:ascii="Times New Roman" w:hAnsi="Times New Roman"/>
          <w:b w:val="1"/>
          <w:sz w:val="28"/>
          <w:szCs w:val="28"/>
          <w:lang w:eastAsia="uk-UA"/>
        </w:rPr>
        <w:t>4. Відомості про Виконавця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«Повне найменування юридичної особи (або Власне ім’я ПРІЗВИЩЕ)» – зазначається повне найменування Виконавця, що є юридичною особою, або власне ім’я і прізвище Виконавця, що є фізичною особою.</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«Код за ЄДРПОУ (ідентифікаційний номер або серія та номер паспорта)» – якщо Виконавець є юридичною особою, зазначається ідентифікаційний код за Єдиним державним реєстром підприємств та організацій України; якщо Виконавець є фізичною особою, зазначається ідентифікаційний номер за Державним реєстром фізичних осіб – платників податків та інших обов'язкових платежів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У полі «Ідентифікатор ROR/ORCID ID» – якщо Виконавець є юридичною особою, за наявності, зазначається цифровий ідентифікатор наукової установи </w:t>
      </w:r>
      <w:r>
        <w:rPr>
          <w:rFonts w:ascii="Times New Roman" w:hAnsi="Times New Roman"/>
          <w:sz w:val="28"/>
          <w:szCs w:val="28"/>
          <w:lang w:val="en-US" w:eastAsia="uk-UA"/>
        </w:rPr>
        <w:t>ROR</w:t>
      </w:r>
      <w:r>
        <w:rPr>
          <w:rFonts w:ascii="Times New Roman" w:hAnsi="Times New Roman"/>
          <w:sz w:val="28"/>
          <w:szCs w:val="28"/>
          <w:lang w:eastAsia="uk-UA"/>
        </w:rPr>
        <w:t xml:space="preserve">, отриманий у відкритому реєстрі постійних, унікальних цифрових ідентифікаторів дослідницьких організацій, які призначені для встановлення зв'язків між установами та результатами досліджень; якщо Виконавець є фізичною особою, за наявності, зазначається унікальний 16-значний номер відкритого ідентифікатора дослідника і автора досліджень </w:t>
      </w:r>
      <w:r>
        <w:rPr>
          <w:rFonts w:ascii="Times New Roman" w:hAnsi="Times New Roman"/>
          <w:sz w:val="28"/>
          <w:szCs w:val="28"/>
          <w:lang w:val="en-US" w:eastAsia="uk-UA"/>
        </w:rPr>
        <w:t>ORCID</w:t>
      </w:r>
      <w:r>
        <w:rPr>
          <w:rFonts w:ascii="Times New Roman" w:hAnsi="Times New Roman"/>
          <w:sz w:val="28"/>
          <w:szCs w:val="28"/>
          <w:lang w:eastAsia="uk-UA"/>
        </w:rPr>
        <w:t xml:space="preserve"> </w:t>
      </w:r>
      <w:r>
        <w:rPr>
          <w:rFonts w:ascii="Times New Roman" w:hAnsi="Times New Roman"/>
          <w:sz w:val="28"/>
          <w:szCs w:val="28"/>
          <w:lang w:val="en-US" w:eastAsia="uk-UA"/>
        </w:rPr>
        <w:t>ID</w:t>
      </w:r>
      <w:r>
        <w:rPr>
          <w:rFonts w:ascii="Times New Roman" w:hAnsi="Times New Roman"/>
          <w:sz w:val="28"/>
          <w:szCs w:val="28"/>
          <w:lang w:eastAsia="uk-UA"/>
        </w:rPr>
        <w:t>. У випадку відсутності таких ідентифікаторів, у полі зазначається «не застосовується».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«Місцезнаходження (місце проживання)» – зазначається місцезнаходження/місце проживання (помешкання, будинок, вулиця, місто, район, область, поштовий індекс) 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w:t>
      </w:r>
      <w:r>
        <w:rPr>
          <w:rFonts w:ascii="Times New Roman" w:hAnsi="Times New Roman"/>
          <w:sz w:val="28"/>
          <w:szCs w:val="28"/>
          <w:lang w:val="ru-RU" w:eastAsia="uk-UA"/>
        </w:rPr>
        <w:t xml:space="preserve"> </w:t>
      </w:r>
      <w:r>
        <w:rPr>
          <w:rFonts w:ascii="Times New Roman" w:hAnsi="Times New Roman"/>
          <w:sz w:val="28"/>
          <w:szCs w:val="28"/>
          <w:lang w:eastAsia="uk-UA"/>
        </w:rPr>
        <w:t>«Форма власності» – обирається форма власності підприємства, установи, організації 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720"/>
        <w:jc w:val="both"/>
        <w:rPr>
          <w:rFonts w:ascii="Times New Roman" w:hAnsi="Times New Roman"/>
          <w:sz w:val="28"/>
          <w:szCs w:val="28"/>
          <w:lang w:eastAsia="uk-UA"/>
        </w:rPr>
      </w:pPr>
      <w:r>
        <w:rPr>
          <w:rFonts w:ascii="Times New Roman" w:hAnsi="Times New Roman"/>
          <w:sz w:val="28"/>
          <w:szCs w:val="28"/>
          <w:lang w:eastAsia="uk-UA"/>
        </w:rPr>
        <w:t>державна;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720"/>
        <w:jc w:val="both"/>
        <w:rPr>
          <w:rFonts w:ascii="Times New Roman" w:hAnsi="Times New Roman"/>
          <w:sz w:val="28"/>
          <w:szCs w:val="28"/>
          <w:lang w:eastAsia="uk-UA"/>
        </w:rPr>
      </w:pPr>
      <w:r>
        <w:rPr>
          <w:rFonts w:ascii="Times New Roman" w:hAnsi="Times New Roman"/>
          <w:sz w:val="28"/>
          <w:szCs w:val="28"/>
          <w:lang w:eastAsia="uk-UA"/>
        </w:rPr>
        <w:t>комунальна;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720"/>
        <w:jc w:val="both"/>
        <w:rPr>
          <w:rFonts w:ascii="Times New Roman" w:hAnsi="Times New Roman"/>
          <w:sz w:val="28"/>
          <w:szCs w:val="28"/>
          <w:lang w:eastAsia="uk-UA"/>
        </w:rPr>
      </w:pPr>
      <w:r>
        <w:rPr>
          <w:rFonts w:ascii="Times New Roman" w:hAnsi="Times New Roman"/>
          <w:sz w:val="28"/>
          <w:szCs w:val="28"/>
          <w:lang w:eastAsia="uk-UA"/>
        </w:rPr>
        <w:t>приватна;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720"/>
        <w:jc w:val="both"/>
        <w:rPr>
          <w:rFonts w:ascii="Times New Roman" w:hAnsi="Times New Roman"/>
          <w:sz w:val="28"/>
          <w:szCs w:val="28"/>
          <w:lang w:eastAsia="uk-UA"/>
        </w:rPr>
      </w:pPr>
      <w:r>
        <w:rPr>
          <w:rFonts w:ascii="Times New Roman" w:hAnsi="Times New Roman"/>
          <w:sz w:val="28"/>
          <w:szCs w:val="28"/>
          <w:lang w:eastAsia="uk-UA"/>
        </w:rPr>
        <w:t>змішана.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720"/>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У полі «Сфера управління» – зазначається назва  державного органу, до сфери управління якого належить підприємство, установа, організація Виконавця (якщо Виконавцем є фізична особа, зазначається «не застосовується»). Якщо у полі «Форма власності» зазначено «приватна», то у цьому полі зазначається «не застосовується».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«Сектор науки» – зазначається сектор науки, до якого належить Виконавець:</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академічний;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галузевий;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університетський;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заводський.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Якщо Виконавець є фізичною особою або фізичною особою-підприємцем, то зазначається «не застосовується».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«Розмір організації» – зазначається кількість штатних співробітників підприємства, установи, організації 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до 10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10-50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50-250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понад 250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«Контакти» – зазначається номера телефонів, адреса електронної пошти, адреса вебсайту (за наявності) 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sz w:val="28"/>
          <w:szCs w:val="28"/>
          <w:lang w:eastAsia="uk-UA"/>
        </w:rPr>
      </w:pPr>
      <w:r>
        <w:rPr>
          <w:rFonts w:ascii="Times New Roman" w:hAnsi="Times New Roman"/>
          <w:b w:val="1"/>
          <w:sz w:val="28"/>
          <w:szCs w:val="28"/>
          <w:lang w:eastAsia="uk-UA"/>
        </w:rPr>
        <w:t>5. Відомості про співвиконавця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«Повне найменування юридичної особи (або Власне ім’я</w:t>
      </w:r>
      <w:r>
        <w:rPr>
          <w:rFonts w:ascii="Times New Roman" w:hAnsi="Times New Roman"/>
          <w:strike w:val="1"/>
          <w:sz w:val="28"/>
          <w:szCs w:val="28"/>
          <w:lang w:eastAsia="uk-UA"/>
        </w:rPr>
        <w:t xml:space="preserve"> </w:t>
      </w:r>
      <w:r>
        <w:rPr>
          <w:rFonts w:ascii="Times New Roman" w:hAnsi="Times New Roman"/>
          <w:sz w:val="28"/>
          <w:szCs w:val="28"/>
          <w:lang w:eastAsia="uk-UA"/>
        </w:rPr>
        <w:t>ПРІЗВИЩЕ)» – зазначається повне найменування співвиконавця, що є юридичною особою, або власне ім’я і</w:t>
      </w:r>
      <w:r>
        <w:rPr>
          <w:rFonts w:ascii="Times New Roman" w:hAnsi="Times New Roman"/>
          <w:color w:val="FF0000"/>
          <w:sz w:val="28"/>
          <w:szCs w:val="28"/>
          <w:lang w:eastAsia="uk-UA"/>
        </w:rPr>
        <w:t xml:space="preserve"> </w:t>
      </w:r>
      <w:r>
        <w:rPr>
          <w:rFonts w:ascii="Times New Roman" w:hAnsi="Times New Roman"/>
          <w:sz w:val="28"/>
          <w:szCs w:val="28"/>
          <w:lang w:eastAsia="uk-UA"/>
        </w:rPr>
        <w:t>прізвище співвиконавця, що є фізичною особою.</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«Код за ЄДРПОУ (ідентифікаційний номер або серія та номер паспорта)» – якщо співвиконавець є юридичною особою, зазначається ідентифікаційний код за Єдиним державним реєстром підприємств та організацій України; якщо співвиконавець є фізичною особою, зазначається ідентифікаційний номер за Державним реєстром фізичних осіб – платників податків та інших обов'язкових платежів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У полі «Ідентифікатор ROR/ORCID ID» – якщо співвиконавець є юридичною особою, за наявності, зазначається цифровий ідентифікатор наукової установи </w:t>
      </w:r>
      <w:r>
        <w:rPr>
          <w:rFonts w:ascii="Times New Roman" w:hAnsi="Times New Roman"/>
          <w:sz w:val="28"/>
          <w:szCs w:val="28"/>
          <w:lang w:val="en-US" w:eastAsia="uk-UA"/>
        </w:rPr>
        <w:t>ROR</w:t>
      </w:r>
      <w:r>
        <w:rPr>
          <w:rFonts w:ascii="Times New Roman" w:hAnsi="Times New Roman"/>
          <w:sz w:val="28"/>
          <w:szCs w:val="28"/>
          <w:lang w:eastAsia="uk-UA"/>
        </w:rPr>
        <w:t xml:space="preserve">, отриманий у відкритому реєстрі постійних, унікальних цифрових ідентифікаторів дослідницьких організацій, які призначені для встановлення зв'язків між установами та результатами досліджень; якщо співвиконавець є фізичною особою, за наявності, зазначається унікальний 16-значний номер відкритого ідентифікатора дослідника і автора досліджень </w:t>
      </w:r>
      <w:r>
        <w:rPr>
          <w:rFonts w:ascii="Times New Roman" w:hAnsi="Times New Roman"/>
          <w:sz w:val="28"/>
          <w:szCs w:val="28"/>
          <w:lang w:val="en-US" w:eastAsia="uk-UA"/>
        </w:rPr>
        <w:t>ORCID</w:t>
      </w:r>
      <w:r>
        <w:rPr>
          <w:rFonts w:ascii="Times New Roman" w:hAnsi="Times New Roman"/>
          <w:sz w:val="28"/>
          <w:szCs w:val="28"/>
          <w:lang w:eastAsia="uk-UA"/>
        </w:rPr>
        <w:t xml:space="preserve"> </w:t>
      </w:r>
      <w:r>
        <w:rPr>
          <w:rFonts w:ascii="Times New Roman" w:hAnsi="Times New Roman"/>
          <w:sz w:val="28"/>
          <w:szCs w:val="28"/>
          <w:lang w:val="en-US" w:eastAsia="uk-UA"/>
        </w:rPr>
        <w:t>ID</w:t>
      </w:r>
      <w:r>
        <w:rPr>
          <w:rFonts w:ascii="Times New Roman" w:hAnsi="Times New Roman"/>
          <w:sz w:val="28"/>
          <w:szCs w:val="28"/>
          <w:lang w:eastAsia="uk-UA"/>
        </w:rPr>
        <w:t>. У випадку відсутності таких ідентифікаторів, у полі зазначається «не застосовується».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spacing w:val="-6"/>
          <w:lang w:eastAsia="uk-UA"/>
        </w:rPr>
      </w:pPr>
      <w:r>
        <w:rPr>
          <w:rFonts w:ascii="Times New Roman" w:hAnsi="Times New Roman"/>
          <w:sz w:val="28"/>
          <w:szCs w:val="28"/>
          <w:spacing w:val="-6"/>
          <w:lang w:eastAsia="uk-UA"/>
        </w:rPr>
        <w:t>У полі</w:t>
      </w:r>
      <w:r>
        <w:rPr>
          <w:rFonts w:ascii="Times New Roman" w:hAnsi="Times New Roman"/>
          <w:sz w:val="28"/>
          <w:szCs w:val="28"/>
          <w:spacing w:val="-6"/>
          <w:lang w:val="ru-RU" w:eastAsia="uk-UA"/>
        </w:rPr>
        <w:t xml:space="preserve"> </w:t>
      </w:r>
      <w:r>
        <w:rPr>
          <w:rFonts w:ascii="Times New Roman" w:hAnsi="Times New Roman"/>
          <w:sz w:val="28"/>
          <w:szCs w:val="28"/>
          <w:spacing w:val="-6"/>
          <w:lang w:eastAsia="uk-UA"/>
        </w:rPr>
        <w:t>«Форма власності» – обирається форма власності підприємства, установи, організації співвиконавця: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720"/>
        <w:jc w:val="both"/>
        <w:rPr>
          <w:rFonts w:ascii="Times New Roman" w:hAnsi="Times New Roman"/>
          <w:sz w:val="28"/>
          <w:szCs w:val="28"/>
          <w:spacing w:val="-6"/>
          <w:lang w:eastAsia="uk-UA"/>
        </w:rPr>
      </w:pPr>
      <w:r>
        <w:rPr>
          <w:rFonts w:ascii="Times New Roman" w:hAnsi="Times New Roman"/>
          <w:sz w:val="28"/>
          <w:szCs w:val="28"/>
          <w:spacing w:val="-6"/>
          <w:lang w:eastAsia="uk-UA"/>
        </w:rPr>
        <w:t>державна;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720"/>
        <w:jc w:val="both"/>
        <w:rPr>
          <w:rFonts w:ascii="Times New Roman" w:hAnsi="Times New Roman"/>
          <w:sz w:val="28"/>
          <w:szCs w:val="28"/>
          <w:spacing w:val="-6"/>
          <w:lang w:eastAsia="uk-UA"/>
        </w:rPr>
      </w:pPr>
      <w:r>
        <w:rPr>
          <w:rFonts w:ascii="Times New Roman" w:hAnsi="Times New Roman"/>
          <w:sz w:val="28"/>
          <w:szCs w:val="28"/>
          <w:spacing w:val="-6"/>
          <w:lang w:eastAsia="uk-UA"/>
        </w:rPr>
        <w:t>комунальна;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720"/>
        <w:jc w:val="both"/>
        <w:rPr>
          <w:rFonts w:ascii="Times New Roman" w:hAnsi="Times New Roman"/>
          <w:sz w:val="28"/>
          <w:szCs w:val="28"/>
          <w:spacing w:val="-6"/>
          <w:lang w:eastAsia="uk-UA"/>
        </w:rPr>
      </w:pPr>
      <w:r>
        <w:rPr>
          <w:rFonts w:ascii="Times New Roman" w:hAnsi="Times New Roman"/>
          <w:sz w:val="28"/>
          <w:szCs w:val="28"/>
          <w:spacing w:val="-6"/>
          <w:lang w:eastAsia="uk-UA"/>
        </w:rPr>
        <w:t>приватна;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left="720"/>
        <w:jc w:val="both"/>
        <w:rPr>
          <w:rFonts w:ascii="Times New Roman" w:hAnsi="Times New Roman"/>
          <w:sz w:val="28"/>
          <w:szCs w:val="28"/>
          <w:spacing w:val="-6"/>
          <w:lang w:eastAsia="uk-UA"/>
        </w:rPr>
      </w:pPr>
      <w:r>
        <w:rPr>
          <w:rFonts w:ascii="Times New Roman" w:hAnsi="Times New Roman"/>
          <w:sz w:val="28"/>
          <w:szCs w:val="28"/>
          <w:spacing w:val="-6"/>
          <w:lang w:eastAsia="uk-UA"/>
        </w:rPr>
        <w:t>змішана.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spacing w:val="-6"/>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spacing w:val="-6"/>
          <w:lang w:eastAsia="uk-UA"/>
        </w:rPr>
      </w:pPr>
      <w:r>
        <w:rPr>
          <w:rFonts w:ascii="Times New Roman" w:hAnsi="Times New Roman"/>
          <w:sz w:val="28"/>
          <w:szCs w:val="28"/>
          <w:spacing w:val="-6"/>
          <w:lang w:eastAsia="uk-UA"/>
        </w:rPr>
        <w:t>У полі «Сфера управління» – зазначається найменування державного органу, до сфери управління якого належать підприємство, установа, організація співвиконавця (якщо співвиконавцем є фізична особа, зазначається «не застосовується»).</w:t>
      </w:r>
      <w:r>
        <w:rPr>
          <w:rFonts w:ascii="Times New Roman" w:hAnsi="Times New Roman"/>
          <w:color w:val="FF0000"/>
          <w:sz w:val="28"/>
          <w:szCs w:val="28"/>
          <w:lang w:eastAsia="uk-UA"/>
        </w:rPr>
        <w:t xml:space="preserve"> </w:t>
      </w:r>
      <w:r>
        <w:rPr>
          <w:rFonts w:ascii="Times New Roman" w:hAnsi="Times New Roman"/>
          <w:sz w:val="28"/>
          <w:szCs w:val="28"/>
          <w:lang w:eastAsia="uk-UA"/>
        </w:rPr>
        <w:t>Якщо у полі «Форма власності» зазначено «приватна», то у цьому полі зазначається «не застосовується».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«Сектор науки» – зазначається сектор науки, до якого належить співвиконавець:</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академічний;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галузевий;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університетський;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заводський.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Якщо співвиконавець є фізичною особою, то зазначається «не застосовується».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«Розмір організації» – зазначається кількість штатних співробітників підприємства, установи, організації співвиконавця: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до 10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10-50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50-250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понад 250 співробітників.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«Місцезнаходження (місце проживання)» – зазначається місцезнаходження/місце проживання (помешкання, будинок, вулиця, місто, район, область, поштовий індекс) співвиконавця.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w:t>
      </w:r>
      <w:r>
        <w:rPr>
          <w:rFonts w:ascii="Times New Roman" w:hAnsi="Times New Roman"/>
          <w:sz w:val="28"/>
          <w:szCs w:val="28"/>
          <w:lang w:val="ru-RU" w:eastAsia="uk-UA"/>
        </w:rPr>
        <w:t xml:space="preserve"> </w:t>
      </w:r>
      <w:r>
        <w:rPr>
          <w:rFonts w:ascii="Times New Roman" w:hAnsi="Times New Roman"/>
          <w:sz w:val="28"/>
          <w:szCs w:val="28"/>
          <w:lang w:eastAsia="uk-UA"/>
        </w:rPr>
        <w:t xml:space="preserve">«Контакти» – зазначається номер телефону, адреса електронної пошти,  адреса вебсайту (за наявності) співвиконавця.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За наявності декількох співвиконавців, частина «Відомості про співвиконавця ДіР» РК ДіР заповнюється для кожного співвиконавця окремо. Додавання блоку щодо співвиконавців здійснюється шляхом натискання кнопки «Додати співвиконавця».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sz w:val="28"/>
          <w:szCs w:val="28"/>
          <w:lang w:eastAsia="uk-UA"/>
        </w:rPr>
      </w:pPr>
      <w:r>
        <w:rPr>
          <w:rFonts w:ascii="Times New Roman" w:hAnsi="Times New Roman"/>
          <w:b w:val="1"/>
          <w:sz w:val="28"/>
          <w:szCs w:val="28"/>
          <w:lang w:eastAsia="uk-UA"/>
        </w:rPr>
        <w:t>6. Відомості про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w:t>
      </w:r>
      <w:r>
        <w:rPr>
          <w:rFonts w:ascii="Times New Roman" w:hAnsi="Times New Roman"/>
          <w:sz w:val="28"/>
          <w:szCs w:val="28"/>
          <w:lang w:val="ru-RU" w:eastAsia="uk-UA"/>
        </w:rPr>
        <w:t xml:space="preserve"> </w:t>
      </w:r>
      <w:r>
        <w:rPr>
          <w:rFonts w:ascii="Times New Roman" w:hAnsi="Times New Roman"/>
          <w:sz w:val="28"/>
          <w:szCs w:val="28"/>
          <w:lang w:eastAsia="uk-UA"/>
        </w:rPr>
        <w:t>«Назва (українською мовою)» – подається повна назва ДіР українською мовою.</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w:t>
      </w:r>
      <w:r>
        <w:rPr>
          <w:rFonts w:ascii="Times New Roman" w:hAnsi="Times New Roman"/>
          <w:sz w:val="28"/>
          <w:szCs w:val="28"/>
          <w:lang w:val="ru-RU" w:eastAsia="uk-UA"/>
        </w:rPr>
        <w:t xml:space="preserve"> </w:t>
      </w:r>
      <w:r>
        <w:rPr>
          <w:rFonts w:ascii="Times New Roman" w:hAnsi="Times New Roman"/>
          <w:sz w:val="28"/>
          <w:szCs w:val="28"/>
          <w:lang w:eastAsia="uk-UA"/>
        </w:rPr>
        <w:t>«Назва (англійською мовою)» – подається повна назва ДіР англійською мовою.</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«Мета (українською мовою)» – українською мовою</w:t>
      </w:r>
      <w:r>
        <w:rPr>
          <w:rFonts w:ascii="Times New Roman" w:hAnsi="Times New Roman"/>
          <w:sz w:val="28"/>
          <w:szCs w:val="28"/>
          <w:lang w:val="ru-RU" w:eastAsia="uk-UA"/>
        </w:rPr>
        <w:t xml:space="preserve"> </w:t>
      </w:r>
      <w:r>
        <w:rPr>
          <w:rFonts w:ascii="Times New Roman" w:hAnsi="Times New Roman"/>
          <w:sz w:val="28"/>
          <w:szCs w:val="28"/>
          <w:lang w:eastAsia="uk-UA"/>
        </w:rPr>
        <w:t>викладається мета проведення дослідження або розробки відповідно до технічного завдання, передбаченого в договірних документах</w:t>
      </w:r>
      <w:r>
        <w:rPr>
          <w:rFonts w:ascii="Times New Roman" w:hAnsi="Times New Roman"/>
          <w:sz w:val="28"/>
          <w:szCs w:val="28"/>
          <w:lang w:val="ru-RU" w:eastAsia="uk-UA"/>
        </w:rPr>
        <w:t>.</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«Мета (англійською мовою)» – англійською мовою наводиться інформація, яка має відповідати інформації, наведеній у полі «Мета (українською мовою)».</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«Пріоритетний напрям розвитку науки і техніки» – зазначається назва пріоритетного напряму відповідно до статті 3 Закону України «Про пріоритетні напрями розвитку науки і техніки», у межах якого виконується ДіР:</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12" w:left="8"/>
        <w:jc w:val="both"/>
        <w:rPr>
          <w:rFonts w:ascii="Times New Roman" w:hAnsi="Times New Roman"/>
          <w:sz w:val="28"/>
          <w:szCs w:val="28"/>
          <w:lang w:eastAsia="uk-UA"/>
        </w:rPr>
      </w:pPr>
      <w:r>
        <w:rPr>
          <w:rFonts w:ascii="Times New Roman" w:hAnsi="Times New Roman"/>
          <w:sz w:val="28"/>
          <w:szCs w:val="28"/>
          <w:lang w:eastAsia="uk-UA"/>
        </w:rPr>
        <w:t xml:space="preserve">фундаментальні наукові  дослідження з  найбільш важливих проблем розвитку науково-технічного,  соціально-економічного, суспільно-політичного, людського  потенціалу для забезпечення конкурентоспроможності України у світі та сталого розвитку суспільства і держави;</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sz w:val="28"/>
          <w:szCs w:val="28"/>
          <w:lang w:eastAsia="uk-UA"/>
        </w:rPr>
      </w:pPr>
      <w:r>
        <w:rPr>
          <w:rFonts w:ascii="Times New Roman" w:hAnsi="Times New Roman"/>
          <w:sz w:val="28"/>
          <w:szCs w:val="28"/>
          <w:lang w:eastAsia="uk-UA"/>
        </w:rPr>
        <w:t>інформаційні та комунікаційні технології;</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sz w:val="28"/>
          <w:szCs w:val="28"/>
          <w:lang w:eastAsia="uk-UA"/>
        </w:rPr>
      </w:pPr>
      <w:r>
        <w:rPr>
          <w:rFonts w:ascii="Times New Roman" w:hAnsi="Times New Roman"/>
          <w:sz w:val="28"/>
          <w:szCs w:val="28"/>
          <w:lang w:eastAsia="uk-UA"/>
        </w:rPr>
        <w:t>енергетика та енергоефективність;</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sz w:val="28"/>
          <w:szCs w:val="28"/>
          <w:lang w:eastAsia="uk-UA"/>
        </w:rPr>
      </w:pPr>
      <w:r>
        <w:rPr>
          <w:rFonts w:ascii="Times New Roman" w:hAnsi="Times New Roman"/>
          <w:sz w:val="28"/>
          <w:szCs w:val="28"/>
          <w:lang w:eastAsia="uk-UA"/>
        </w:rPr>
        <w:t>раціональне природокористування;</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12" w:left="8"/>
        <w:jc w:val="both"/>
        <w:rPr>
          <w:rFonts w:ascii="Times New Roman" w:hAnsi="Times New Roman"/>
          <w:sz w:val="28"/>
          <w:szCs w:val="28"/>
          <w:lang w:eastAsia="uk-UA"/>
        </w:rPr>
      </w:pPr>
      <w:r>
        <w:rPr>
          <w:rFonts w:ascii="Times New Roman" w:hAnsi="Times New Roman"/>
          <w:sz w:val="28"/>
          <w:szCs w:val="28"/>
          <w:lang w:eastAsia="uk-UA"/>
        </w:rPr>
        <w:t>науки про життя, нові технології профілактики та лікування найпоширеніших захворювань;</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sz w:val="28"/>
          <w:szCs w:val="28"/>
          <w:lang w:eastAsia="uk-UA"/>
        </w:rPr>
      </w:pPr>
      <w:r>
        <w:rPr>
          <w:rFonts w:ascii="Times New Roman" w:hAnsi="Times New Roman"/>
          <w:sz w:val="28"/>
          <w:szCs w:val="28"/>
          <w:lang w:eastAsia="uk-UA"/>
        </w:rPr>
        <w:t>нові речовини і матеріали.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«Стратегічний пріоритетний напрям інноваційної діяльності» – зазначається назва стратегічного пріоритетного напряму відповідно до статті 4 Закону України «Про пріоритетні напрями інноваційної діяльності в Україні», у межах якого виконується ДіР:</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12" w:left="8"/>
        <w:jc w:val="both"/>
        <w:rPr>
          <w:rFonts w:ascii="Times New Roman" w:hAnsi="Times New Roman"/>
          <w:sz w:val="28"/>
          <w:szCs w:val="28"/>
          <w:lang w:eastAsia="uk-UA"/>
        </w:rPr>
      </w:pPr>
      <w:r>
        <w:rPr>
          <w:rFonts w:ascii="Times New Roman" w:hAnsi="Times New Roman"/>
          <w:sz w:val="28"/>
          <w:szCs w:val="28"/>
          <w:lang w:eastAsia="uk-UA"/>
        </w:rPr>
        <w:t>освоєння нових технологій транспортування енергії, впровадження енергоефективних, ресурсозберігаючих технологій, освоєння альтернативних джерел енергії;</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12" w:left="8"/>
        <w:jc w:val="both"/>
        <w:rPr>
          <w:rFonts w:ascii="Times New Roman" w:hAnsi="Times New Roman"/>
          <w:sz w:val="28"/>
          <w:szCs w:val="28"/>
          <w:lang w:eastAsia="uk-UA"/>
        </w:rPr>
      </w:pPr>
      <w:r>
        <w:rPr>
          <w:rFonts w:ascii="Times New Roman" w:hAnsi="Times New Roman"/>
          <w:sz w:val="28"/>
          <w:szCs w:val="28"/>
          <w:lang w:eastAsia="uk-UA"/>
        </w:rPr>
        <w:t>освоєння нових технологій високотехнологічного розвитку транспортної системи, ракетно-космічної галузі, авіа- і суднобудування, озброєння та військової техніки;</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12" w:left="8"/>
        <w:jc w:val="both"/>
        <w:rPr>
          <w:rFonts w:ascii="Times New Roman" w:hAnsi="Times New Roman"/>
          <w:sz w:val="28"/>
          <w:szCs w:val="28"/>
          <w:lang w:eastAsia="uk-UA"/>
        </w:rPr>
      </w:pPr>
      <w:r>
        <w:rPr>
          <w:rFonts w:ascii="Times New Roman" w:hAnsi="Times New Roman"/>
          <w:sz w:val="28"/>
          <w:szCs w:val="28"/>
          <w:lang w:eastAsia="uk-UA"/>
        </w:rPr>
        <w:t>освоєння нових технологій виробництва матеріалів, їх оброблення і з'єднання, створення індустрії наноматеріалів та нанотехнологій;</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sz w:val="28"/>
          <w:szCs w:val="28"/>
          <w:lang w:eastAsia="uk-UA"/>
        </w:rPr>
      </w:pPr>
      <w:r>
        <w:rPr>
          <w:rFonts w:ascii="Times New Roman" w:hAnsi="Times New Roman"/>
          <w:sz w:val="28"/>
          <w:szCs w:val="28"/>
          <w:lang w:eastAsia="uk-UA"/>
        </w:rPr>
        <w:t>технологічне оновлення та розвиток агропромислового комплексу;</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12" w:left="8"/>
        <w:jc w:val="both"/>
        <w:rPr>
          <w:rFonts w:ascii="Times New Roman" w:hAnsi="Times New Roman"/>
          <w:sz w:val="28"/>
          <w:szCs w:val="28"/>
          <w:lang w:eastAsia="uk-UA"/>
        </w:rPr>
      </w:pPr>
      <w:r>
        <w:rPr>
          <w:rFonts w:ascii="Times New Roman" w:hAnsi="Times New Roman"/>
          <w:sz w:val="28"/>
          <w:szCs w:val="28"/>
          <w:lang w:eastAsia="uk-UA"/>
        </w:rPr>
        <w:t>впровадження нових технологій та обладнання для якісного медичного обслуговування, лікування, фармацевтики;</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12" w:left="8"/>
        <w:jc w:val="both"/>
        <w:rPr>
          <w:rFonts w:ascii="Times New Roman" w:hAnsi="Times New Roman"/>
          <w:sz w:val="28"/>
          <w:szCs w:val="28"/>
          <w:lang w:eastAsia="uk-UA"/>
        </w:rPr>
      </w:pPr>
      <w:r>
        <w:rPr>
          <w:rFonts w:ascii="Times New Roman" w:hAnsi="Times New Roman"/>
          <w:sz w:val="28"/>
          <w:szCs w:val="28"/>
          <w:lang w:eastAsia="uk-UA"/>
        </w:rPr>
        <w:t>широке застосування технологій більш чистого виробництва та охорони навколишнього природного середовища;</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12" w:left="8"/>
        <w:jc w:val="both"/>
        <w:rPr>
          <w:rFonts w:ascii="Times New Roman" w:hAnsi="Times New Roman"/>
          <w:sz w:val="28"/>
          <w:szCs w:val="28"/>
          <w:lang w:eastAsia="uk-UA"/>
        </w:rPr>
      </w:pPr>
      <w:r>
        <w:rPr>
          <w:rFonts w:ascii="Times New Roman" w:hAnsi="Times New Roman"/>
          <w:sz w:val="28"/>
          <w:szCs w:val="28"/>
          <w:lang w:eastAsia="uk-UA"/>
        </w:rPr>
        <w:t>розвиток сучасних інформаційних, комунікаційних технологій, робототехніки.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У полі «Вид ДіР» – обирається вид ДіР: </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sz w:val="28"/>
          <w:szCs w:val="28"/>
          <w:lang w:eastAsia="uk-UA"/>
        </w:rPr>
      </w:pPr>
      <w:r>
        <w:rPr>
          <w:rFonts w:ascii="Times New Roman" w:hAnsi="Times New Roman"/>
          <w:sz w:val="28"/>
          <w:szCs w:val="28"/>
          <w:lang w:eastAsia="uk-UA"/>
        </w:rPr>
        <w:t>фундаментальні наукові дослідження;</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sz w:val="28"/>
          <w:szCs w:val="28"/>
          <w:lang w:eastAsia="uk-UA"/>
        </w:rPr>
      </w:pPr>
      <w:r>
        <w:rPr>
          <w:rFonts w:ascii="Times New Roman" w:hAnsi="Times New Roman"/>
          <w:sz w:val="28"/>
          <w:szCs w:val="28"/>
          <w:lang w:eastAsia="uk-UA"/>
        </w:rPr>
        <w:t>прикладні наукові дослідження;</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sz w:val="28"/>
          <w:szCs w:val="28"/>
          <w:lang w:eastAsia="uk-UA"/>
        </w:rPr>
      </w:pPr>
      <w:r>
        <w:rPr>
          <w:rFonts w:ascii="Times New Roman" w:hAnsi="Times New Roman"/>
          <w:sz w:val="28"/>
          <w:szCs w:val="28"/>
          <w:lang w:eastAsia="uk-UA"/>
        </w:rPr>
        <w:t>науково-технічні (експериментальні) розробки;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У полі «Очікувані результати» – зазначаються усі </w:t>
      </w:r>
      <w:r>
        <w:rPr>
          <w:rFonts w:ascii="Times New Roman" w:hAnsi="Times New Roman"/>
          <w:color w:val="000000" w:themeColor="text1"/>
          <w:sz w:val="28"/>
          <w:szCs w:val="28"/>
          <w:lang w:eastAsia="uk-UA"/>
        </w:rPr>
        <w:t>види</w:t>
      </w:r>
      <w:r>
        <w:rPr>
          <w:rFonts w:ascii="Times New Roman" w:hAnsi="Times New Roman"/>
          <w:sz w:val="28"/>
          <w:szCs w:val="28"/>
          <w:lang w:eastAsia="uk-UA"/>
        </w:rPr>
        <w:t xml:space="preserve"> очікуваних в результаті виконання ДіР результатів (науково-технічної продукції):</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hanging="283" w:left="709"/>
        <w:jc w:val="both"/>
        <w:rPr>
          <w:rFonts w:ascii="Times New Roman" w:hAnsi="Times New Roman"/>
          <w:sz w:val="28"/>
          <w:szCs w:val="28"/>
          <w:lang w:eastAsia="uk-UA"/>
        </w:rPr>
      </w:pPr>
      <w:r>
        <w:rPr>
          <w:rFonts w:ascii="Times New Roman" w:hAnsi="Times New Roman"/>
          <w:sz w:val="28"/>
          <w:szCs w:val="28"/>
          <w:lang w:eastAsia="uk-UA"/>
        </w:rPr>
        <w:t>види техніки</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hanging="283" w:left="709"/>
        <w:jc w:val="both"/>
        <w:rPr>
          <w:rFonts w:ascii="Times New Roman" w:hAnsi="Times New Roman"/>
          <w:sz w:val="28"/>
          <w:szCs w:val="28"/>
          <w:lang w:eastAsia="uk-UA"/>
        </w:rPr>
      </w:pPr>
      <w:r>
        <w:rPr>
          <w:rFonts w:ascii="Times New Roman" w:hAnsi="Times New Roman"/>
          <w:sz w:val="28"/>
          <w:szCs w:val="28"/>
          <w:lang w:eastAsia="uk-UA"/>
        </w:rPr>
        <w:t>технології;</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hanging="283" w:left="709"/>
        <w:jc w:val="both"/>
        <w:rPr>
          <w:rFonts w:ascii="Times New Roman" w:hAnsi="Times New Roman"/>
          <w:sz w:val="28"/>
          <w:szCs w:val="28"/>
          <w:lang w:eastAsia="uk-UA"/>
        </w:rPr>
      </w:pPr>
      <w:r>
        <w:rPr>
          <w:rFonts w:ascii="Times New Roman" w:hAnsi="Times New Roman"/>
          <w:sz w:val="28"/>
          <w:szCs w:val="28"/>
          <w:lang w:eastAsia="uk-UA"/>
        </w:rPr>
        <w:t>матеріали;</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hanging="283" w:left="709"/>
        <w:jc w:val="both"/>
        <w:rPr>
          <w:rFonts w:ascii="Times New Roman" w:hAnsi="Times New Roman"/>
          <w:sz w:val="28"/>
          <w:szCs w:val="28"/>
          <w:lang w:eastAsia="uk-UA"/>
        </w:rPr>
      </w:pPr>
      <w:r>
        <w:rPr>
          <w:rFonts w:ascii="Times New Roman" w:hAnsi="Times New Roman"/>
          <w:sz w:val="28"/>
          <w:szCs w:val="28"/>
          <w:lang w:eastAsia="uk-UA"/>
        </w:rPr>
        <w:t>сорти рослин;</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hanging="283" w:left="709"/>
        <w:jc w:val="both"/>
        <w:rPr>
          <w:rFonts w:ascii="Times New Roman" w:hAnsi="Times New Roman"/>
          <w:sz w:val="28"/>
          <w:szCs w:val="28"/>
          <w:lang w:eastAsia="uk-UA"/>
        </w:rPr>
      </w:pPr>
      <w:r>
        <w:rPr>
          <w:rFonts w:ascii="Times New Roman" w:hAnsi="Times New Roman"/>
          <w:sz w:val="28"/>
          <w:szCs w:val="28"/>
          <w:lang w:eastAsia="uk-UA"/>
        </w:rPr>
        <w:t>породи тварин;</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hanging="283" w:left="709"/>
        <w:jc w:val="both"/>
        <w:rPr>
          <w:rFonts w:ascii="Times New Roman" w:hAnsi="Times New Roman"/>
          <w:sz w:val="28"/>
          <w:szCs w:val="28"/>
          <w:lang w:eastAsia="uk-UA"/>
        </w:rPr>
      </w:pPr>
      <w:r>
        <w:rPr>
          <w:rFonts w:ascii="Times New Roman" w:hAnsi="Times New Roman"/>
          <w:sz w:val="28"/>
          <w:szCs w:val="28"/>
          <w:lang w:eastAsia="uk-UA"/>
        </w:rPr>
        <w:t>методи, теорії;</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hanging="283" w:left="709"/>
        <w:jc w:val="both"/>
        <w:rPr>
          <w:rFonts w:ascii="Times New Roman" w:hAnsi="Times New Roman"/>
          <w:sz w:val="28"/>
          <w:szCs w:val="28"/>
          <w:lang w:eastAsia="uk-UA"/>
        </w:rPr>
      </w:pPr>
      <w:r>
        <w:rPr>
          <w:rFonts w:ascii="Times New Roman" w:hAnsi="Times New Roman"/>
          <w:sz w:val="28"/>
          <w:szCs w:val="28"/>
          <w:lang w:eastAsia="uk-UA"/>
        </w:rPr>
        <w:t>проєкти нормативно-правових документів;</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hanging="283" w:left="709"/>
        <w:jc w:val="both"/>
        <w:rPr>
          <w:rFonts w:ascii="Times New Roman" w:hAnsi="Times New Roman"/>
          <w:sz w:val="28"/>
          <w:szCs w:val="28"/>
          <w:lang w:eastAsia="uk-UA"/>
        </w:rPr>
      </w:pPr>
      <w:r>
        <w:rPr>
          <w:rFonts w:ascii="Times New Roman" w:hAnsi="Times New Roman"/>
          <w:sz w:val="28"/>
          <w:szCs w:val="28"/>
          <w:lang w:eastAsia="uk-UA"/>
        </w:rPr>
        <w:t>проєкти нормативно-технічних документів;</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hanging="283" w:left="709"/>
        <w:jc w:val="both"/>
        <w:rPr>
          <w:rFonts w:ascii="Times New Roman" w:hAnsi="Times New Roman"/>
          <w:sz w:val="28"/>
          <w:szCs w:val="28"/>
          <w:lang w:eastAsia="uk-UA"/>
        </w:rPr>
      </w:pPr>
      <w:r>
        <w:rPr>
          <w:rFonts w:ascii="Times New Roman" w:hAnsi="Times New Roman"/>
          <w:sz w:val="28"/>
          <w:szCs w:val="28"/>
          <w:lang w:eastAsia="uk-UA"/>
        </w:rPr>
        <w:t>методичні документи;</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hanging="283" w:left="709"/>
        <w:jc w:val="both"/>
        <w:rPr>
          <w:rFonts w:ascii="Times New Roman" w:hAnsi="Times New Roman"/>
          <w:sz w:val="28"/>
          <w:szCs w:val="28"/>
          <w:lang w:eastAsia="uk-UA"/>
        </w:rPr>
      </w:pPr>
      <w:r>
        <w:rPr>
          <w:rFonts w:ascii="Times New Roman" w:hAnsi="Times New Roman"/>
          <w:sz w:val="28"/>
          <w:szCs w:val="28"/>
          <w:lang w:eastAsia="uk-UA"/>
        </w:rPr>
        <w:t>програмні продукти, програмно-технологічна документація;</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hanging="283" w:left="709"/>
        <w:jc w:val="both"/>
        <w:rPr>
          <w:rFonts w:ascii="Times New Roman" w:hAnsi="Times New Roman"/>
          <w:sz w:val="28"/>
          <w:szCs w:val="28"/>
          <w:lang w:eastAsia="uk-UA"/>
        </w:rPr>
      </w:pPr>
      <w:r>
        <w:rPr>
          <w:rFonts w:ascii="Times New Roman" w:hAnsi="Times New Roman"/>
          <w:sz w:val="28"/>
          <w:szCs w:val="28"/>
          <w:lang w:eastAsia="uk-UA"/>
        </w:rPr>
        <w:t>аналітичні матеріали;</w:t>
      </w:r>
    </w:p>
    <w:p>
      <w:pPr>
        <w:pStyle w:val="P1"/>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hanging="283" w:left="709"/>
        <w:jc w:val="both"/>
        <w:rPr>
          <w:rFonts w:ascii="Times New Roman" w:hAnsi="Times New Roman"/>
          <w:sz w:val="28"/>
          <w:szCs w:val="28"/>
          <w:lang w:eastAsia="uk-UA"/>
        </w:rPr>
      </w:pPr>
      <w:r>
        <w:rPr>
          <w:rFonts w:ascii="Times New Roman" w:hAnsi="Times New Roman"/>
          <w:sz w:val="28"/>
          <w:szCs w:val="28"/>
          <w:lang w:eastAsia="uk-UA"/>
        </w:rPr>
        <w:t>інше (вказати).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«Галузь застосування» – зазначаються основна, суміжні галузі, в яких можуть бути впроваджені очікувані результати ДіР, потенційні споживачі продукції згідно з КВЕД-2010 – Національним класифікатором України «Класифікація видів економічної діяльності ДК 009:2010», затвердженим наказом Держспоживстандарту України від 11 жовтня 2010 року № 457, із змінами.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sz w:val="28"/>
          <w:szCs w:val="28"/>
          <w:lang w:eastAsia="uk-UA"/>
        </w:rPr>
      </w:pPr>
      <w:r>
        <w:rPr>
          <w:rFonts w:ascii="Times New Roman" w:hAnsi="Times New Roman"/>
          <w:b w:val="1"/>
          <w:sz w:val="28"/>
          <w:szCs w:val="28"/>
          <w:lang w:eastAsia="uk-UA"/>
        </w:rPr>
        <w:t>7. Етапи виконання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«Номер етапу» – проставляється порядковий номер етапу.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w:t>
      </w:r>
      <w:r>
        <w:rPr>
          <w:rFonts w:ascii="Times New Roman" w:hAnsi="Times New Roman"/>
          <w:sz w:val="28"/>
          <w:szCs w:val="28"/>
          <w:lang w:val="ru-RU" w:eastAsia="uk-UA"/>
        </w:rPr>
        <w:t xml:space="preserve"> </w:t>
      </w:r>
      <w:r>
        <w:rPr>
          <w:rFonts w:ascii="Times New Roman" w:hAnsi="Times New Roman"/>
          <w:sz w:val="28"/>
          <w:szCs w:val="28"/>
          <w:lang w:eastAsia="uk-UA"/>
        </w:rPr>
        <w:t>«Назва етапу» – зазначається назва етапу, яка зазначена у договірному документі.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У полі «Початок етапу» – зазначаються місяць та рік початку виконання етапу ДіР.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«Закінчення етапу» – зазначаються місяць та рік завершення виконання етапу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w:t>
      </w:r>
      <w:r>
        <w:rPr>
          <w:rFonts w:ascii="Times New Roman" w:hAnsi="Times New Roman"/>
          <w:sz w:val="28"/>
          <w:szCs w:val="28"/>
          <w:lang w:val="ru-RU" w:eastAsia="uk-UA"/>
        </w:rPr>
        <w:t xml:space="preserve"> </w:t>
      </w:r>
      <w:r>
        <w:rPr>
          <w:rFonts w:ascii="Times New Roman" w:hAnsi="Times New Roman"/>
          <w:sz w:val="28"/>
          <w:szCs w:val="28"/>
          <w:lang w:eastAsia="uk-UA"/>
        </w:rPr>
        <w:t>«Вид звітного документу» – зазначається вид звітного документа етапу виконання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«Без звіту»;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«Проміжний звіт»;</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 «Остаточний звіт».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Якщо у полі «Підстава для проведення ДіР» обрано «договір (замовлення) з міністерством, іншим центральним органом виконавчої влади, академією наук (головним розпорядником бюджетних коштів на проведення ДіР) як підставу для проведення роботи, та ДіР розраховані більше ніж на поточний рік, але оформлюється в один етап, то це повинно бути зазначено у договорі із Замовником. В іншому випадку ДіР мають бути розділені на кілька етапів.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Кожен етап закривається остаточним або проміжним звітом.</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Якщо ДіР містять лише один етап, його назва може співпадати з назвою ДіР. Назва етапу не повинна перевищувати 200 знаків.</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sz w:val="28"/>
          <w:szCs w:val="28"/>
          <w:lang w:eastAsia="uk-UA"/>
        </w:rPr>
      </w:pPr>
      <w:r>
        <w:rPr>
          <w:rFonts w:ascii="Times New Roman" w:hAnsi="Times New Roman"/>
          <w:b w:val="1"/>
          <w:sz w:val="28"/>
          <w:szCs w:val="28"/>
          <w:lang w:eastAsia="uk-UA"/>
        </w:rPr>
        <w:t>8. Індекс УДК, тематичні рубрики НТІ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У полі «Індекс УДК» – проставляється індекс УДК за таблицями Універсальної десяткової класифікації. </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«Коди тематичних рубрик» – коди проставляються УкрІНТЕІ згідно з Національним класифікатором України «Рубрикатор науково-технічної інформації» (ДК 022:2008), затвердженим наказом Державного комітету України з питань технічного регулювання та споживчої політики від 31 грудня 2008 року № 525.</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sz w:val="28"/>
          <w:szCs w:val="28"/>
          <w:lang w:eastAsia="uk-UA"/>
        </w:rPr>
      </w:pPr>
      <w:r>
        <w:rPr>
          <w:rFonts w:ascii="Times New Roman" w:hAnsi="Times New Roman"/>
          <w:b w:val="1"/>
          <w:sz w:val="28"/>
          <w:szCs w:val="28"/>
          <w:lang w:eastAsia="uk-UA"/>
        </w:rPr>
        <w:t>9. Заключні відомості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«Керівник юридичної особи» – зазначаються власне ім’я і прізвище керівника підприємства, установи, організації 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«Керівник ДіР» – зазначається власне ім’я і прізвище керівника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«Науковий ступінь» – зазначається науковий ступінь керівника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«Вчене звання» – зазначається вчене звання керівника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«Додаткова інформація» – зазначаються сторінки керівника ДіР у міжнародних наукометричних базах даних Scopus, Google Academy, Web of Science (за наявності).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«Відповідальний за підготовку реєстраційних документів» – зазначаються власне ім’я і прізвище, телефон відповідального за підготовку документів та ідентичність їх на паперових та електронних носіях інформації (уповноваженої особи, відповідно до пункту 2</w:t>
      </w:r>
      <w:r>
        <w:rPr>
          <w:rFonts w:ascii="Times New Roman" w:hAnsi="Times New Roman"/>
          <w:smallCaps w:val="0"/>
          <w:sz w:val="28"/>
          <w:szCs w:val="22"/>
          <w:cs w:val="0"/>
          <w:spacing w:val="0"/>
          <w:w w:val="100"/>
          <w:position w:val="0"/>
          <w:snapToGrid w:val="1"/>
          <w:lang w:eastAsia="uk-UA"/>
        </w:rPr>
        <w:t xml:space="preserve"> роздіду ІІ</w:t>
      </w:r>
      <w:r>
        <w:rPr>
          <w:rFonts w:ascii="Times New Roman" w:hAnsi="Times New Roman"/>
          <w:sz w:val="28"/>
          <w:szCs w:val="28"/>
          <w:lang w:eastAsia="uk-UA"/>
        </w:rPr>
        <w:t xml:space="preserve"> Порядку державної реєстрації та обліку наукових (науково-технічних) робіт </w:t>
      </w:r>
      <w:r>
        <w:rPr>
          <w:rFonts w:ascii="Times New Roman" w:hAnsi="Times New Roman"/>
          <w:smallCaps w:val="0"/>
          <w:sz w:val="28"/>
          <w:szCs w:val="22"/>
          <w:cs w:val="0"/>
          <w:spacing w:val="0"/>
          <w:w w:val="100"/>
          <w:position w:val="0"/>
          <w:snapToGrid w:val="1"/>
          <w:lang w:eastAsia="uk-UA"/>
        </w:rPr>
        <w:t>і</w:t>
      </w:r>
      <w:r>
        <w:rPr>
          <w:rFonts w:ascii="Times New Roman" w:hAnsi="Times New Roman"/>
          <w:sz w:val="28"/>
          <w:szCs w:val="28"/>
          <w:lang w:eastAsia="uk-UA"/>
        </w:rPr>
        <w:t xml:space="preserve"> дисертацій).</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«Керівник відділу УкрІНТЕІ, що відповідає за реєстрацію наукової діяльності» – зазначаються власне ім’я і прізвище керівника відповідного відділу УкрІНТЕІ.</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 полі «Реєстратор» – зазначаються власне ім’я і прізвище співробітника відділу УкрІНТЕІ, який прийняв документи.</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color w:val="000000"/>
          <w:sz w:val="28"/>
          <w:szCs w:val="28"/>
          <w:lang w:eastAsia="uk-UA"/>
        </w:rPr>
      </w:pPr>
      <w:r>
        <w:rPr>
          <w:rFonts w:ascii="Times New Roman" w:hAnsi="Times New Roman"/>
          <w:b w:val="1"/>
          <w:color w:val="000000"/>
          <w:sz w:val="28"/>
          <w:szCs w:val="28"/>
          <w:lang w:eastAsia="uk-UA"/>
        </w:rPr>
        <w:t>10. Надсилання РК ДіР у систему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sz w:val="28"/>
          <w:szCs w:val="28"/>
          <w:lang w:eastAsia="uk-UA"/>
        </w:rPr>
      </w:pPr>
      <w:r>
        <w:rPr>
          <w:rFonts w:ascii="Times New Roman" w:hAnsi="Times New Roman"/>
          <w:color w:val="000000"/>
          <w:sz w:val="28"/>
          <w:szCs w:val="28"/>
          <w:lang w:eastAsia="uk-UA"/>
        </w:rPr>
        <w:t xml:space="preserve">Якщо РК ДіР відповідає всім вимогам цієї Інструкції, їй надається державний реєстраційний номер, присвоюється статус «Зареєстрована», і РК ДіР з’являється в Особистому кабінеті особи, яка  її заповнювала.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sz w:val="28"/>
          <w:szCs w:val="28"/>
          <w:lang w:eastAsia="uk-UA"/>
        </w:rPr>
      </w:pPr>
      <w:r>
        <w:rPr>
          <w:rFonts w:ascii="Times New Roman" w:hAnsi="Times New Roman"/>
          <w:color w:val="000000"/>
          <w:sz w:val="28"/>
          <w:szCs w:val="28"/>
          <w:lang w:eastAsia="uk-UA"/>
        </w:rPr>
        <w:t xml:space="preserve">РК ДіР формується у форматі </w:t>
      </w:r>
      <w:r>
        <w:rPr>
          <w:rFonts w:ascii="Times New Roman" w:hAnsi="Times New Roman"/>
          <w:color w:val="000000"/>
          <w:sz w:val="28"/>
          <w:szCs w:val="28"/>
          <w:lang w:val="ru-RU" w:eastAsia="uk-UA"/>
        </w:rPr>
        <w:t>.</w:t>
      </w:r>
      <w:r>
        <w:rPr>
          <w:rFonts w:ascii="Times New Roman" w:hAnsi="Times New Roman"/>
          <w:color w:val="000000"/>
          <w:sz w:val="28"/>
          <w:szCs w:val="28"/>
          <w:lang w:val="en-US" w:eastAsia="uk-UA"/>
        </w:rPr>
        <w:t>pdf</w:t>
      </w:r>
      <w:r>
        <w:rPr>
          <w:rFonts w:ascii="Times New Roman" w:hAnsi="Times New Roman"/>
          <w:color w:val="000000"/>
          <w:sz w:val="28"/>
          <w:szCs w:val="28"/>
          <w:lang w:eastAsia="uk-UA"/>
        </w:rPr>
        <w:t xml:space="preserve"> і є готовою до друку та збереження.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sz w:val="28"/>
          <w:szCs w:val="28"/>
          <w:lang w:eastAsia="uk-UA"/>
        </w:rPr>
      </w:pPr>
      <w:r>
        <w:rPr>
          <w:rFonts w:ascii="Times New Roman" w:hAnsi="Times New Roman"/>
          <w:color w:val="000000"/>
          <w:sz w:val="28"/>
          <w:szCs w:val="28"/>
          <w:lang w:eastAsia="uk-UA"/>
        </w:rPr>
        <w:t>Якщо деякі поля РК ДіР не відповідають вимогам цієї Інструкції, вона з’являється в Особистому кабінеті особи, яка її заповнювала, із зауваженнями по кожному полю, що потребує редагування.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color w:val="000000"/>
          <w:sz w:val="28"/>
          <w:szCs w:val="28"/>
          <w:lang w:eastAsia="uk-UA"/>
        </w:rPr>
      </w:pPr>
      <w:r>
        <w:rPr>
          <w:rFonts w:ascii="Times New Roman" w:hAnsi="Times New Roman"/>
          <w:color w:val="000000"/>
          <w:sz w:val="28"/>
          <w:szCs w:val="28"/>
          <w:lang w:eastAsia="uk-UA"/>
        </w:rPr>
        <w:t>За достовірність відомостей, що вказані в РК ДіР, зміст реєстраційних документів, якість оформлення і своєчасне їх подання УкрІНТЕІ відповідає уповноважена особа Виконавця.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b w:val="1"/>
          <w:sz w:val="28"/>
          <w:szCs w:val="28"/>
          <w:lang w:eastAsia="uk-UA"/>
        </w:rPr>
      </w:pPr>
      <w:r>
        <w:rPr>
          <w:rFonts w:ascii="Times New Roman" w:hAnsi="Times New Roman"/>
          <w:b w:val="1"/>
          <w:sz w:val="28"/>
          <w:szCs w:val="28"/>
          <w:lang w:eastAsia="uk-UA"/>
        </w:rPr>
        <w:t>11. Внесення змін до РК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Зміни у РК ДіР, яка вже пройшла процедуру реєстрації і отримала державний реєстраційний номер, можуть вноситись у будь-яке поле, окрім полів «Назва (українською мовою)» і «Назва (англійською мовою)».</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За потреби внести зміни у назву ДіР, РК ДіР з державним реєстраційним номером анулюється.</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Уповноважена особа Виконавця, обираючи функцію анулювання РК ДіР, зобов’язана надати скановану копію листа з обґрунтуванням та підтвердити наміри анулювати РК ДіР.</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 xml:space="preserve">Анульована РК ДіР зберігається у </w:t>
      </w:r>
      <w:r>
        <w:rPr>
          <w:rFonts w:ascii="Times New Roman" w:hAnsi="Times New Roman"/>
          <w:color w:val="000000" w:themeColor="text1"/>
          <w:sz w:val="28"/>
          <w:szCs w:val="28"/>
          <w:lang w:eastAsia="uk-UA"/>
        </w:rPr>
        <w:t>Системі 1</w:t>
      </w:r>
      <w:r>
        <w:rPr>
          <w:rFonts w:ascii="Times New Roman" w:hAnsi="Times New Roman"/>
          <w:sz w:val="28"/>
          <w:szCs w:val="28"/>
          <w:lang w:eastAsia="uk-UA"/>
        </w:rPr>
        <w:t xml:space="preserve"> у вигляді архівного документу із збереженням державного реєстраційного номеру і може бути надана Замовнику чи Виконавцю, контролюючим або перевіряючим державним органам виконавчої влади на вимогу.</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Якщо зміни вносяться в будь-які інші поля, то уповноважена особа Виконавця, обираючи режим редагування, зобов’язана надати скановану копію листа змін, що містить обґрунтування змін із новим та старим значенням, та власноруч внести зміни відповідно до наданого листа змін.</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Така РК ДіР втрачає статус «Зареєстрована» та переходить в категорію «Надіслана на перевірку» із збереженням державного реєстраційного номера.</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r>
        <w:rPr>
          <w:rFonts w:ascii="Times New Roman" w:hAnsi="Times New Roman"/>
          <w:sz w:val="28"/>
          <w:szCs w:val="28"/>
          <w:lang w:eastAsia="uk-UA"/>
        </w:rPr>
        <w:t>Якщо змінена РК ДіР відповідає всім вимогам цієї Інструкції, їй присвоюється статус «Зареєстрована», і РК ДіР з’являється в Особистому кабінеті особи, яка її заповнювала,</w:t>
      </w:r>
      <w:r>
        <w:rPr>
          <w:rFonts w:ascii="Times New Roman" w:hAnsi="Times New Roman"/>
          <w:color w:val="FF0000"/>
          <w:sz w:val="28"/>
          <w:szCs w:val="28"/>
          <w:lang w:eastAsia="uk-UA"/>
        </w:rPr>
        <w:t xml:space="preserve"> </w:t>
      </w:r>
      <w:r>
        <w:rPr>
          <w:rFonts w:ascii="Times New Roman" w:hAnsi="Times New Roman"/>
          <w:sz w:val="28"/>
          <w:szCs w:val="28"/>
          <w:lang w:eastAsia="uk-UA"/>
        </w:rPr>
        <w:t>у форматі .pdf.</w:t>
      </w:r>
    </w:p>
    <w:p>
      <w:pPr>
        <w:widowControl w:val="0"/>
        <w:pBdr>
          <w:top w:val="nil" w:sz="0" w:space="0" w:shadow="0" w:frame="0" w:color="auto"/>
          <w:left w:val="nil" w:sz="0" w:space="0" w:shadow="0" w:frame="0" w:color="auto"/>
          <w:bottom w:val="nil" w:sz="0" w:space="0" w:shadow="0" w:frame="0" w:color="auto"/>
          <w:right w:val="nil" w:sz="0" w:space="0" w:shadow="0" w:frame="0" w:color="auto"/>
          <w:between w:val="nil" w:sz="0" w:space="0" w:shadow="0" w:frame="0" w:color="auto"/>
        </w:pBdr>
        <w:spacing w:lineRule="auto" w:line="240" w:after="0" w:beforeAutospacing="0" w:afterAutospacing="0"/>
        <w:ind w:firstLine="709"/>
        <w:jc w:val="both"/>
        <w:rPr>
          <w:rFonts w:ascii="Times New Roman" w:hAnsi="Times New Roman"/>
          <w:sz w:val="28"/>
          <w:szCs w:val="28"/>
          <w:lang w:eastAsia="uk-UA"/>
        </w:rPr>
      </w:pPr>
    </w:p>
    <w:sectPr>
      <w:headerReference xmlns:r="http://schemas.openxmlformats.org/officeDocument/2006/relationships" w:type="default" r:id="RelHdr1"/>
      <w:footnotePr/>
      <w:endnotePr/>
      <w:type w:val="nextPage"/>
      <w:pgSz w:w="11906" w:h="16838" w:code="0"/>
      <w:pgMar w:left="1417" w:right="850" w:top="850" w:bottom="1135" w:header="708" w:footer="708" w:gutter="0"/>
      <w:titlePg w:val="1"/>
    </w:sectPr>
  </w:body>
</w:document>
</file>

<file path=word/endnotes.xml><?xml version="1.0" encoding="utf-8"?>
<w:endnotes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endnote w:type="separator" w:id="-1">
    <w:p>
      <w:pPr>
        <w:spacing w:lineRule="auto" w:line="240" w:after="0" w:beforeAutospacing="0" w:afterAutospacing="0"/>
      </w:pPr>
    </w:p>
  </w:endnote>
  <w:endnote w:type="continuationSeparator" w:id="0">
    <w:p>
      <w:pPr>
        <w:spacing w:lineRule="auto" w:line="240" w:after="0" w:beforeAutospacing="0" w:afterAutospacing="0"/>
      </w:pPr>
    </w:p>
  </w:endnote>
</w:endnotes>
</file>

<file path=word/footnotes.xml><?xml version="1.0" encoding="utf-8"?>
<w:footnotes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footnote w:type="separator" w:id="-1">
    <w:p>
      <w:pPr>
        <w:spacing w:lineRule="auto" w:line="240" w:after="0" w:beforeAutospacing="0" w:afterAutospacing="0"/>
      </w:pPr>
    </w:p>
  </w:footnote>
  <w:footnote w:type="continuationSeparator" w:id="0">
    <w:p>
      <w:pPr>
        <w:spacing w:lineRule="auto" w:line="240" w:after="0" w:beforeAutospacing="0" w:afterAutospacing="0"/>
      </w:pPr>
    </w:p>
  </w:footnote>
</w:footnotes>
</file>

<file path=word/header1.xml><?xml version="1.0" encoding="utf-8"?>
<w:hd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p>
    <w:pPr>
      <w:pStyle w:val="P3"/>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noProof w:val="1"/>
        <w:sz w:val="28"/>
        <w:szCs w:val="28"/>
      </w:rPr>
      <w:t>#</w:t>
    </w:r>
    <w:r>
      <w:rPr>
        <w:rFonts w:ascii="Times New Roman" w:hAnsi="Times New Roman"/>
        <w:sz w:val="28"/>
        <w:szCs w:val="28"/>
      </w:rPr>
      <w:fldChar w:fldCharType="end"/>
    </w:r>
  </w:p>
  <w:p>
    <w:pPr>
      <w:pStyle w:val="P3"/>
      <w:jc w:val="center"/>
      <w:rPr>
        <w:rFonts w:ascii="Times New Roman" w:hAnsi="Times New Roman"/>
        <w:sz w:val="28"/>
        <w:szCs w:val="28"/>
      </w:rPr>
    </w:pPr>
  </w:p>
  <w:p>
    <w:pPr>
      <w:pStyle w:val="P3"/>
      <w:jc w:val="right"/>
      <w:rPr>
        <w:rFonts w:ascii="Times New Roman" w:hAnsi="Times New Roman"/>
        <w:sz w:val="28"/>
        <w:szCs w:val="28"/>
      </w:rPr>
    </w:pPr>
    <w:r>
      <w:rPr>
        <w:rFonts w:ascii="Times New Roman" w:hAnsi="Times New Roman"/>
        <w:smallCaps w:val="0"/>
        <w:sz w:val="28"/>
        <w:szCs w:val="22"/>
        <w:cs w:val="0"/>
        <w:spacing w:val="0"/>
        <w:w w:val="100"/>
        <w:position w:val="0"/>
        <w:snapToGrid w:val="1"/>
      </w:rPr>
      <w:t>Продовження додатку 2</w:t>
    </w:r>
  </w:p>
  <w:p>
    <w:pPr>
      <w:rPr>
        <w:rFonts w:ascii="Times New Roman" w:hAnsi="Times New Roman"/>
        <w:sz w:val="10"/>
        <w:szCs w:val="10"/>
      </w:rPr>
    </w:pPr>
  </w:p>
</w:hdr>
</file>

<file path=word/numbering.xml><?xml version="1.0" encoding="utf-8"?>
<w:numbering xmlns:w="http://schemas.openxmlformats.org/wordprocessingml/2006/main">
  <w:abstractNum w:abstractNumId="0">
    <w:nsid w:val="0E365F78"/>
    <w:multiLevelType w:val="hybridMultilevel"/>
    <w:lvl w:ilvl="0" w:tplc="081EC5C8">
      <w:start w:val="1"/>
      <w:numFmt w:val="bullet"/>
      <w:suff w:val="tab"/>
      <w:lvlText w:val=""/>
      <w:lvlJc w:val="left"/>
      <w:pPr>
        <w:ind w:hanging="360" w:left="1429"/>
      </w:pPr>
      <w:rPr>
        <w:rFonts w:ascii="Symbol" w:hAnsi="Symbol"/>
      </w:rPr>
    </w:lvl>
    <w:lvl w:ilvl="1" w:tplc="04220003">
      <w:start w:val="1"/>
      <w:numFmt w:val="bullet"/>
      <w:suff w:val="tab"/>
      <w:lvlText w:val="o"/>
      <w:lvlJc w:val="left"/>
      <w:pPr>
        <w:ind w:hanging="360" w:left="2149"/>
      </w:pPr>
      <w:rPr>
        <w:rFonts w:ascii="Courier New" w:hAnsi="Courier New"/>
      </w:rPr>
    </w:lvl>
    <w:lvl w:ilvl="2" w:tplc="04220005">
      <w:start w:val="1"/>
      <w:numFmt w:val="bullet"/>
      <w:suff w:val="tab"/>
      <w:lvlText w:val=""/>
      <w:lvlJc w:val="left"/>
      <w:pPr>
        <w:ind w:hanging="360" w:left="2869"/>
      </w:pPr>
      <w:rPr>
        <w:rFonts w:ascii="Wingdings" w:hAnsi="Wingdings"/>
      </w:rPr>
    </w:lvl>
    <w:lvl w:ilvl="3" w:tplc="04220001">
      <w:start w:val="1"/>
      <w:numFmt w:val="bullet"/>
      <w:suff w:val="tab"/>
      <w:lvlText w:val=""/>
      <w:lvlJc w:val="left"/>
      <w:pPr>
        <w:ind w:hanging="360" w:left="3589"/>
      </w:pPr>
      <w:rPr>
        <w:rFonts w:ascii="Symbol" w:hAnsi="Symbol"/>
      </w:rPr>
    </w:lvl>
    <w:lvl w:ilvl="4" w:tplc="04220003">
      <w:start w:val="1"/>
      <w:numFmt w:val="bullet"/>
      <w:suff w:val="tab"/>
      <w:lvlText w:val="o"/>
      <w:lvlJc w:val="left"/>
      <w:pPr>
        <w:ind w:hanging="360" w:left="4309"/>
      </w:pPr>
      <w:rPr>
        <w:rFonts w:ascii="Courier New" w:hAnsi="Courier New"/>
      </w:rPr>
    </w:lvl>
    <w:lvl w:ilvl="5" w:tplc="04220005">
      <w:start w:val="1"/>
      <w:numFmt w:val="bullet"/>
      <w:suff w:val="tab"/>
      <w:lvlText w:val=""/>
      <w:lvlJc w:val="left"/>
      <w:pPr>
        <w:ind w:hanging="360" w:left="5029"/>
      </w:pPr>
      <w:rPr>
        <w:rFonts w:ascii="Wingdings" w:hAnsi="Wingdings"/>
      </w:rPr>
    </w:lvl>
    <w:lvl w:ilvl="6" w:tplc="04220001">
      <w:start w:val="1"/>
      <w:numFmt w:val="bullet"/>
      <w:suff w:val="tab"/>
      <w:lvlText w:val=""/>
      <w:lvlJc w:val="left"/>
      <w:pPr>
        <w:ind w:hanging="360" w:left="5749"/>
      </w:pPr>
      <w:rPr>
        <w:rFonts w:ascii="Symbol" w:hAnsi="Symbol"/>
      </w:rPr>
    </w:lvl>
    <w:lvl w:ilvl="7" w:tplc="04220003">
      <w:start w:val="1"/>
      <w:numFmt w:val="bullet"/>
      <w:suff w:val="tab"/>
      <w:lvlText w:val="o"/>
      <w:lvlJc w:val="left"/>
      <w:pPr>
        <w:ind w:hanging="360" w:left="6469"/>
      </w:pPr>
      <w:rPr>
        <w:rFonts w:ascii="Courier New" w:hAnsi="Courier New"/>
      </w:rPr>
    </w:lvl>
    <w:lvl w:ilvl="8" w:tplc="04220005">
      <w:start w:val="1"/>
      <w:numFmt w:val="bullet"/>
      <w:suff w:val="tab"/>
      <w:lvlText w:val=""/>
      <w:lvlJc w:val="left"/>
      <w:pPr>
        <w:ind w:hanging="360" w:left="7189"/>
      </w:pPr>
      <w:rPr>
        <w:rFonts w:ascii="Wingdings" w:hAnsi="Wingdings"/>
      </w:rPr>
    </w:lvl>
  </w:abstractNum>
  <w:abstractNum w:abstractNumId="1">
    <w:nsid w:val="14024B4E"/>
    <w:multiLevelType w:val="hybridMultilevel"/>
    <w:lvl w:ilvl="0" w:tplc="081EC5C8">
      <w:start w:val="1"/>
      <w:numFmt w:val="bullet"/>
      <w:suff w:val="tab"/>
      <w:lvlText w:val=""/>
      <w:lvlJc w:val="left"/>
      <w:pPr>
        <w:ind w:hanging="360" w:left="1429"/>
      </w:pPr>
      <w:rPr>
        <w:rFonts w:ascii="Symbol" w:hAnsi="Symbol"/>
      </w:rPr>
    </w:lvl>
    <w:lvl w:ilvl="1" w:tplc="04220003">
      <w:start w:val="1"/>
      <w:numFmt w:val="bullet"/>
      <w:suff w:val="tab"/>
      <w:lvlText w:val="o"/>
      <w:lvlJc w:val="left"/>
      <w:pPr>
        <w:ind w:hanging="360" w:left="1440"/>
      </w:pPr>
      <w:rPr>
        <w:rFonts w:ascii="Courier New" w:hAnsi="Courier New"/>
      </w:rPr>
    </w:lvl>
    <w:lvl w:ilvl="2" w:tplc="04220005">
      <w:start w:val="1"/>
      <w:numFmt w:val="bullet"/>
      <w:suff w:val="tab"/>
      <w:lvlText w:val=""/>
      <w:lvlJc w:val="left"/>
      <w:pPr>
        <w:ind w:hanging="360" w:left="2160"/>
      </w:pPr>
      <w:rPr>
        <w:rFonts w:ascii="Wingdings" w:hAnsi="Wingdings"/>
      </w:rPr>
    </w:lvl>
    <w:lvl w:ilvl="3" w:tplc="04220001">
      <w:start w:val="1"/>
      <w:numFmt w:val="bullet"/>
      <w:suff w:val="tab"/>
      <w:lvlText w:val=""/>
      <w:lvlJc w:val="left"/>
      <w:pPr>
        <w:ind w:hanging="360" w:left="2880"/>
      </w:pPr>
      <w:rPr>
        <w:rFonts w:ascii="Symbol" w:hAnsi="Symbol"/>
      </w:rPr>
    </w:lvl>
    <w:lvl w:ilvl="4" w:tplc="04220003">
      <w:start w:val="1"/>
      <w:numFmt w:val="bullet"/>
      <w:suff w:val="tab"/>
      <w:lvlText w:val="o"/>
      <w:lvlJc w:val="left"/>
      <w:pPr>
        <w:ind w:hanging="360" w:left="3600"/>
      </w:pPr>
      <w:rPr>
        <w:rFonts w:ascii="Courier New" w:hAnsi="Courier New"/>
      </w:rPr>
    </w:lvl>
    <w:lvl w:ilvl="5" w:tplc="04220005">
      <w:start w:val="1"/>
      <w:numFmt w:val="bullet"/>
      <w:suff w:val="tab"/>
      <w:lvlText w:val=""/>
      <w:lvlJc w:val="left"/>
      <w:pPr>
        <w:ind w:hanging="360" w:left="4320"/>
      </w:pPr>
      <w:rPr>
        <w:rFonts w:ascii="Wingdings" w:hAnsi="Wingdings"/>
      </w:rPr>
    </w:lvl>
    <w:lvl w:ilvl="6" w:tplc="04220001">
      <w:start w:val="1"/>
      <w:numFmt w:val="bullet"/>
      <w:suff w:val="tab"/>
      <w:lvlText w:val=""/>
      <w:lvlJc w:val="left"/>
      <w:pPr>
        <w:ind w:hanging="360" w:left="5040"/>
      </w:pPr>
      <w:rPr>
        <w:rFonts w:ascii="Symbol" w:hAnsi="Symbol"/>
      </w:rPr>
    </w:lvl>
    <w:lvl w:ilvl="7" w:tplc="04220003">
      <w:start w:val="1"/>
      <w:numFmt w:val="bullet"/>
      <w:suff w:val="tab"/>
      <w:lvlText w:val="o"/>
      <w:lvlJc w:val="left"/>
      <w:pPr>
        <w:ind w:hanging="360" w:left="5760"/>
      </w:pPr>
      <w:rPr>
        <w:rFonts w:ascii="Courier New" w:hAnsi="Courier New"/>
      </w:rPr>
    </w:lvl>
    <w:lvl w:ilvl="8" w:tplc="04220005">
      <w:start w:val="1"/>
      <w:numFmt w:val="bullet"/>
      <w:suff w:val="tab"/>
      <w:lvlText w:val=""/>
      <w:lvlJc w:val="left"/>
      <w:pPr>
        <w:ind w:hanging="360" w:left="6480"/>
      </w:pPr>
      <w:rPr>
        <w:rFonts w:ascii="Wingdings" w:hAnsi="Wingdings"/>
      </w:rPr>
    </w:lvl>
  </w:abstractNum>
  <w:abstractNum w:abstractNumId="2">
    <w:nsid w:val="44077330"/>
    <w:multiLevelType w:val="hybridMultilevel"/>
    <w:lvl w:ilvl="0" w:tplc="04220001">
      <w:start w:val="1"/>
      <w:numFmt w:val="bullet"/>
      <w:suff w:val="tab"/>
      <w:lvlText w:val=""/>
      <w:lvlJc w:val="left"/>
      <w:pPr>
        <w:ind w:hanging="360" w:left="1429"/>
      </w:pPr>
      <w:rPr>
        <w:rFonts w:ascii="Symbol" w:hAnsi="Symbol"/>
      </w:rPr>
    </w:lvl>
    <w:lvl w:ilvl="1" w:tplc="04220003">
      <w:start w:val="1"/>
      <w:numFmt w:val="bullet"/>
      <w:suff w:val="tab"/>
      <w:lvlText w:val="o"/>
      <w:lvlJc w:val="left"/>
      <w:pPr>
        <w:ind w:hanging="360" w:left="2149"/>
      </w:pPr>
      <w:rPr>
        <w:rFonts w:ascii="Courier New" w:hAnsi="Courier New"/>
      </w:rPr>
    </w:lvl>
    <w:lvl w:ilvl="2" w:tplc="04220005">
      <w:start w:val="1"/>
      <w:numFmt w:val="bullet"/>
      <w:suff w:val="tab"/>
      <w:lvlText w:val=""/>
      <w:lvlJc w:val="left"/>
      <w:pPr>
        <w:ind w:hanging="360" w:left="2869"/>
      </w:pPr>
      <w:rPr>
        <w:rFonts w:ascii="Wingdings" w:hAnsi="Wingdings"/>
      </w:rPr>
    </w:lvl>
    <w:lvl w:ilvl="3" w:tplc="04220001">
      <w:start w:val="1"/>
      <w:numFmt w:val="bullet"/>
      <w:suff w:val="tab"/>
      <w:lvlText w:val=""/>
      <w:lvlJc w:val="left"/>
      <w:pPr>
        <w:ind w:hanging="360" w:left="3589"/>
      </w:pPr>
      <w:rPr>
        <w:rFonts w:ascii="Symbol" w:hAnsi="Symbol"/>
      </w:rPr>
    </w:lvl>
    <w:lvl w:ilvl="4" w:tplc="04220003">
      <w:start w:val="1"/>
      <w:numFmt w:val="bullet"/>
      <w:suff w:val="tab"/>
      <w:lvlText w:val="o"/>
      <w:lvlJc w:val="left"/>
      <w:pPr>
        <w:ind w:hanging="360" w:left="4309"/>
      </w:pPr>
      <w:rPr>
        <w:rFonts w:ascii="Courier New" w:hAnsi="Courier New"/>
      </w:rPr>
    </w:lvl>
    <w:lvl w:ilvl="5" w:tplc="04220005">
      <w:start w:val="1"/>
      <w:numFmt w:val="bullet"/>
      <w:suff w:val="tab"/>
      <w:lvlText w:val=""/>
      <w:lvlJc w:val="left"/>
      <w:pPr>
        <w:ind w:hanging="360" w:left="5029"/>
      </w:pPr>
      <w:rPr>
        <w:rFonts w:ascii="Wingdings" w:hAnsi="Wingdings"/>
      </w:rPr>
    </w:lvl>
    <w:lvl w:ilvl="6" w:tplc="04220001">
      <w:start w:val="1"/>
      <w:numFmt w:val="bullet"/>
      <w:suff w:val="tab"/>
      <w:lvlText w:val=""/>
      <w:lvlJc w:val="left"/>
      <w:pPr>
        <w:ind w:hanging="360" w:left="5749"/>
      </w:pPr>
      <w:rPr>
        <w:rFonts w:ascii="Symbol" w:hAnsi="Symbol"/>
      </w:rPr>
    </w:lvl>
    <w:lvl w:ilvl="7" w:tplc="04220003">
      <w:start w:val="1"/>
      <w:numFmt w:val="bullet"/>
      <w:suff w:val="tab"/>
      <w:lvlText w:val="o"/>
      <w:lvlJc w:val="left"/>
      <w:pPr>
        <w:ind w:hanging="360" w:left="6469"/>
      </w:pPr>
      <w:rPr>
        <w:rFonts w:ascii="Courier New" w:hAnsi="Courier New"/>
      </w:rPr>
    </w:lvl>
    <w:lvl w:ilvl="8" w:tplc="04220005">
      <w:start w:val="1"/>
      <w:numFmt w:val="bullet"/>
      <w:suff w:val="tab"/>
      <w:lvlText w:val=""/>
      <w:lvlJc w:val="left"/>
      <w:pPr>
        <w:ind w:hanging="360" w:left="7189"/>
      </w:pPr>
      <w:rPr>
        <w:rFonts w:ascii="Wingdings" w:hAnsi="Wingdings"/>
      </w:rPr>
    </w:lvl>
  </w:abstractNum>
  <w:abstractNum w:abstractNumId="3">
    <w:nsid w:val="4A875DE4"/>
    <w:multiLevelType w:val="hybridMultilevel"/>
    <w:lvl w:ilvl="0" w:tplc="5B1468C4">
      <w:start w:val="3"/>
      <w:numFmt w:val="bullet"/>
      <w:suff w:val="tab"/>
      <w:lvlText w:val="–"/>
      <w:lvlJc w:val="left"/>
      <w:pPr>
        <w:ind w:hanging="360" w:left="720"/>
      </w:pPr>
      <w:rPr>
        <w:rFonts w:ascii="Times New Roman" w:hAnsi="Times New Roman"/>
      </w:rPr>
    </w:lvl>
    <w:lvl w:ilvl="1" w:tplc="04220003">
      <w:start w:val="1"/>
      <w:numFmt w:val="bullet"/>
      <w:suff w:val="tab"/>
      <w:lvlText w:val="o"/>
      <w:lvlJc w:val="left"/>
      <w:pPr>
        <w:ind w:hanging="360" w:left="1440"/>
      </w:pPr>
      <w:rPr>
        <w:rFonts w:ascii="Courier New" w:hAnsi="Courier New"/>
      </w:rPr>
    </w:lvl>
    <w:lvl w:ilvl="2" w:tplc="04220005">
      <w:start w:val="1"/>
      <w:numFmt w:val="bullet"/>
      <w:suff w:val="tab"/>
      <w:lvlText w:val=""/>
      <w:lvlJc w:val="left"/>
      <w:pPr>
        <w:ind w:hanging="360" w:left="2160"/>
      </w:pPr>
      <w:rPr>
        <w:rFonts w:ascii="Wingdings" w:hAnsi="Wingdings"/>
      </w:rPr>
    </w:lvl>
    <w:lvl w:ilvl="3" w:tplc="04220001">
      <w:start w:val="1"/>
      <w:numFmt w:val="bullet"/>
      <w:suff w:val="tab"/>
      <w:lvlText w:val=""/>
      <w:lvlJc w:val="left"/>
      <w:pPr>
        <w:ind w:hanging="360" w:left="2880"/>
      </w:pPr>
      <w:rPr>
        <w:rFonts w:ascii="Symbol" w:hAnsi="Symbol"/>
      </w:rPr>
    </w:lvl>
    <w:lvl w:ilvl="4" w:tplc="04220003">
      <w:start w:val="1"/>
      <w:numFmt w:val="bullet"/>
      <w:suff w:val="tab"/>
      <w:lvlText w:val="o"/>
      <w:lvlJc w:val="left"/>
      <w:pPr>
        <w:ind w:hanging="360" w:left="3600"/>
      </w:pPr>
      <w:rPr>
        <w:rFonts w:ascii="Courier New" w:hAnsi="Courier New"/>
      </w:rPr>
    </w:lvl>
    <w:lvl w:ilvl="5" w:tplc="04220005">
      <w:start w:val="1"/>
      <w:numFmt w:val="bullet"/>
      <w:suff w:val="tab"/>
      <w:lvlText w:val=""/>
      <w:lvlJc w:val="left"/>
      <w:pPr>
        <w:ind w:hanging="360" w:left="4320"/>
      </w:pPr>
      <w:rPr>
        <w:rFonts w:ascii="Wingdings" w:hAnsi="Wingdings"/>
      </w:rPr>
    </w:lvl>
    <w:lvl w:ilvl="6" w:tplc="04220001">
      <w:start w:val="1"/>
      <w:numFmt w:val="bullet"/>
      <w:suff w:val="tab"/>
      <w:lvlText w:val=""/>
      <w:lvlJc w:val="left"/>
      <w:pPr>
        <w:ind w:hanging="360" w:left="5040"/>
      </w:pPr>
      <w:rPr>
        <w:rFonts w:ascii="Symbol" w:hAnsi="Symbol"/>
      </w:rPr>
    </w:lvl>
    <w:lvl w:ilvl="7" w:tplc="04220003">
      <w:start w:val="1"/>
      <w:numFmt w:val="bullet"/>
      <w:suff w:val="tab"/>
      <w:lvlText w:val="o"/>
      <w:lvlJc w:val="left"/>
      <w:pPr>
        <w:ind w:hanging="360" w:left="5760"/>
      </w:pPr>
      <w:rPr>
        <w:rFonts w:ascii="Courier New" w:hAnsi="Courier New"/>
      </w:rPr>
    </w:lvl>
    <w:lvl w:ilvl="8" w:tplc="04220005">
      <w:start w:val="1"/>
      <w:numFmt w:val="bullet"/>
      <w:suff w:val="tab"/>
      <w:lvlText w:val=""/>
      <w:lvlJc w:val="left"/>
      <w:pPr>
        <w:ind w:hanging="360" w:left="6480"/>
      </w:pPr>
      <w:rPr>
        <w:rFonts w:ascii="Wingdings" w:hAnsi="Wingdings"/>
      </w:rPr>
    </w:lvl>
  </w:abstractNum>
  <w:abstractNum w:abstractNumId="4">
    <w:nsid w:val="5178397D"/>
    <w:multiLevelType w:val="hybridMultilevel"/>
    <w:lvl w:ilvl="0" w:tplc="033200D8">
      <w:start w:val="6"/>
      <w:numFmt w:val="bullet"/>
      <w:suff w:val="tab"/>
      <w:lvlText w:val="–"/>
      <w:lvlJc w:val="left"/>
      <w:pPr>
        <w:ind w:hanging="360" w:left="1069"/>
      </w:pPr>
      <w:rPr>
        <w:rFonts w:ascii="Times New Roman" w:hAnsi="Times New Roman"/>
      </w:rPr>
    </w:lvl>
    <w:lvl w:ilvl="1" w:tplc="04220003">
      <w:start w:val="1"/>
      <w:numFmt w:val="bullet"/>
      <w:suff w:val="tab"/>
      <w:lvlText w:val="o"/>
      <w:lvlJc w:val="left"/>
      <w:pPr>
        <w:ind w:hanging="360" w:left="1789"/>
      </w:pPr>
      <w:rPr>
        <w:rFonts w:ascii="Courier New" w:hAnsi="Courier New"/>
      </w:rPr>
    </w:lvl>
    <w:lvl w:ilvl="2" w:tplc="04220005">
      <w:start w:val="1"/>
      <w:numFmt w:val="bullet"/>
      <w:suff w:val="tab"/>
      <w:lvlText w:val=""/>
      <w:lvlJc w:val="left"/>
      <w:pPr>
        <w:ind w:hanging="360" w:left="2509"/>
      </w:pPr>
      <w:rPr>
        <w:rFonts w:ascii="Wingdings" w:hAnsi="Wingdings"/>
      </w:rPr>
    </w:lvl>
    <w:lvl w:ilvl="3" w:tplc="04220001">
      <w:start w:val="1"/>
      <w:numFmt w:val="bullet"/>
      <w:suff w:val="tab"/>
      <w:lvlText w:val=""/>
      <w:lvlJc w:val="left"/>
      <w:pPr>
        <w:ind w:hanging="360" w:left="3229"/>
      </w:pPr>
      <w:rPr>
        <w:rFonts w:ascii="Symbol" w:hAnsi="Symbol"/>
      </w:rPr>
    </w:lvl>
    <w:lvl w:ilvl="4" w:tplc="04220003">
      <w:start w:val="1"/>
      <w:numFmt w:val="bullet"/>
      <w:suff w:val="tab"/>
      <w:lvlText w:val="o"/>
      <w:lvlJc w:val="left"/>
      <w:pPr>
        <w:ind w:hanging="360" w:left="3949"/>
      </w:pPr>
      <w:rPr>
        <w:rFonts w:ascii="Courier New" w:hAnsi="Courier New"/>
      </w:rPr>
    </w:lvl>
    <w:lvl w:ilvl="5" w:tplc="04220005">
      <w:start w:val="1"/>
      <w:numFmt w:val="bullet"/>
      <w:suff w:val="tab"/>
      <w:lvlText w:val=""/>
      <w:lvlJc w:val="left"/>
      <w:pPr>
        <w:ind w:hanging="360" w:left="4669"/>
      </w:pPr>
      <w:rPr>
        <w:rFonts w:ascii="Wingdings" w:hAnsi="Wingdings"/>
      </w:rPr>
    </w:lvl>
    <w:lvl w:ilvl="6" w:tplc="04220001">
      <w:start w:val="1"/>
      <w:numFmt w:val="bullet"/>
      <w:suff w:val="tab"/>
      <w:lvlText w:val=""/>
      <w:lvlJc w:val="left"/>
      <w:pPr>
        <w:ind w:hanging="360" w:left="5389"/>
      </w:pPr>
      <w:rPr>
        <w:rFonts w:ascii="Symbol" w:hAnsi="Symbol"/>
      </w:rPr>
    </w:lvl>
    <w:lvl w:ilvl="7" w:tplc="04220003">
      <w:start w:val="1"/>
      <w:numFmt w:val="bullet"/>
      <w:suff w:val="tab"/>
      <w:lvlText w:val="o"/>
      <w:lvlJc w:val="left"/>
      <w:pPr>
        <w:ind w:hanging="360" w:left="6109"/>
      </w:pPr>
      <w:rPr>
        <w:rFonts w:ascii="Courier New" w:hAnsi="Courier New"/>
      </w:rPr>
    </w:lvl>
    <w:lvl w:ilvl="8" w:tplc="04220005">
      <w:start w:val="1"/>
      <w:numFmt w:val="bullet"/>
      <w:suff w:val="tab"/>
      <w:lvlText w:val=""/>
      <w:lvlJc w:val="left"/>
      <w:pPr>
        <w:ind w:hanging="360" w:left="6829"/>
      </w:pPr>
      <w:rPr>
        <w:rFonts w:ascii="Wingdings" w:hAnsi="Wingdings"/>
      </w:rPr>
    </w:lvl>
  </w:abstractNum>
  <w:abstractNum w:abstractNumId="5">
    <w:nsid w:val="549221A1"/>
    <w:multiLevelType w:val="hybridMultilevel"/>
    <w:lvl w:ilvl="0" w:tplc="D32CEA42">
      <w:start w:val="2"/>
      <w:numFmt w:val="bullet"/>
      <w:suff w:val="tab"/>
      <w:lvlText w:val="–"/>
      <w:lvlJc w:val="left"/>
      <w:pPr>
        <w:ind w:hanging="360" w:left="720"/>
      </w:pPr>
      <w:rPr>
        <w:rFonts w:ascii="Times New Roman" w:hAnsi="Times New Roman"/>
      </w:rPr>
    </w:lvl>
    <w:lvl w:ilvl="1" w:tplc="04220003">
      <w:start w:val="1"/>
      <w:numFmt w:val="bullet"/>
      <w:suff w:val="tab"/>
      <w:lvlText w:val="o"/>
      <w:lvlJc w:val="left"/>
      <w:pPr>
        <w:ind w:hanging="360" w:left="1440"/>
      </w:pPr>
      <w:rPr>
        <w:rFonts w:ascii="Courier New" w:hAnsi="Courier New"/>
      </w:rPr>
    </w:lvl>
    <w:lvl w:ilvl="2" w:tplc="04220005">
      <w:start w:val="1"/>
      <w:numFmt w:val="bullet"/>
      <w:suff w:val="tab"/>
      <w:lvlText w:val=""/>
      <w:lvlJc w:val="left"/>
      <w:pPr>
        <w:ind w:hanging="360" w:left="2160"/>
      </w:pPr>
      <w:rPr>
        <w:rFonts w:ascii="Wingdings" w:hAnsi="Wingdings"/>
      </w:rPr>
    </w:lvl>
    <w:lvl w:ilvl="3" w:tplc="04220001">
      <w:start w:val="1"/>
      <w:numFmt w:val="bullet"/>
      <w:suff w:val="tab"/>
      <w:lvlText w:val=""/>
      <w:lvlJc w:val="left"/>
      <w:pPr>
        <w:ind w:hanging="360" w:left="2880"/>
      </w:pPr>
      <w:rPr>
        <w:rFonts w:ascii="Symbol" w:hAnsi="Symbol"/>
      </w:rPr>
    </w:lvl>
    <w:lvl w:ilvl="4" w:tplc="04220003">
      <w:start w:val="1"/>
      <w:numFmt w:val="bullet"/>
      <w:suff w:val="tab"/>
      <w:lvlText w:val="o"/>
      <w:lvlJc w:val="left"/>
      <w:pPr>
        <w:ind w:hanging="360" w:left="3600"/>
      </w:pPr>
      <w:rPr>
        <w:rFonts w:ascii="Courier New" w:hAnsi="Courier New"/>
      </w:rPr>
    </w:lvl>
    <w:lvl w:ilvl="5" w:tplc="04220005">
      <w:start w:val="1"/>
      <w:numFmt w:val="bullet"/>
      <w:suff w:val="tab"/>
      <w:lvlText w:val=""/>
      <w:lvlJc w:val="left"/>
      <w:pPr>
        <w:ind w:hanging="360" w:left="4320"/>
      </w:pPr>
      <w:rPr>
        <w:rFonts w:ascii="Wingdings" w:hAnsi="Wingdings"/>
      </w:rPr>
    </w:lvl>
    <w:lvl w:ilvl="6" w:tplc="04220001">
      <w:start w:val="1"/>
      <w:numFmt w:val="bullet"/>
      <w:suff w:val="tab"/>
      <w:lvlText w:val=""/>
      <w:lvlJc w:val="left"/>
      <w:pPr>
        <w:ind w:hanging="360" w:left="5040"/>
      </w:pPr>
      <w:rPr>
        <w:rFonts w:ascii="Symbol" w:hAnsi="Symbol"/>
      </w:rPr>
    </w:lvl>
    <w:lvl w:ilvl="7" w:tplc="04220003">
      <w:start w:val="1"/>
      <w:numFmt w:val="bullet"/>
      <w:suff w:val="tab"/>
      <w:lvlText w:val="o"/>
      <w:lvlJc w:val="left"/>
      <w:pPr>
        <w:ind w:hanging="360" w:left="5760"/>
      </w:pPr>
      <w:rPr>
        <w:rFonts w:ascii="Courier New" w:hAnsi="Courier New"/>
      </w:rPr>
    </w:lvl>
    <w:lvl w:ilvl="8" w:tplc="04220005">
      <w:start w:val="1"/>
      <w:numFmt w:val="bullet"/>
      <w:suff w:val="tab"/>
      <w:lvlText w:val=""/>
      <w:lvlJc w:val="left"/>
      <w:pPr>
        <w:ind w:hanging="360" w:left="6480"/>
      </w:pPr>
      <w:rPr>
        <w:rFonts w:ascii="Wingdings" w:hAnsi="Wingdings"/>
      </w:rPr>
    </w:lvl>
  </w:abstractNum>
  <w:abstractNum w:abstractNumId="6">
    <w:nsid w:val="752555B9"/>
    <w:multiLevelType w:val="hybridMultilevel"/>
    <w:lvl w:ilvl="0" w:tplc="0422000F">
      <w:start w:val="1"/>
      <w:numFmt w:val="decimal"/>
      <w:suff w:val="tab"/>
      <w:lvlText w:val="%1."/>
      <w:lvlJc w:val="left"/>
      <w:pPr>
        <w:ind w:hanging="360" w:left="720"/>
      </w:pPr>
      <w:rPr/>
    </w:lvl>
    <w:lvl w:ilvl="1" w:tplc="04220019">
      <w:start w:val="1"/>
      <w:numFmt w:val="lowerLetter"/>
      <w:suff w:val="tab"/>
      <w:lvlText w:val="%2."/>
      <w:lvlJc w:val="left"/>
      <w:pPr>
        <w:ind w:hanging="360" w:left="1440"/>
      </w:pPr>
      <w:rPr/>
    </w:lvl>
    <w:lvl w:ilvl="2" w:tplc="0422001B">
      <w:start w:val="1"/>
      <w:numFmt w:val="lowerRoman"/>
      <w:suff w:val="tab"/>
      <w:lvlText w:val="%3."/>
      <w:lvlJc w:val="right"/>
      <w:pPr>
        <w:ind w:hanging="180" w:left="2160"/>
      </w:pPr>
      <w:rPr/>
    </w:lvl>
    <w:lvl w:ilvl="3" w:tplc="0422000F">
      <w:start w:val="1"/>
      <w:numFmt w:val="decimal"/>
      <w:suff w:val="tab"/>
      <w:lvlText w:val="%4."/>
      <w:lvlJc w:val="left"/>
      <w:pPr>
        <w:ind w:hanging="360" w:left="2880"/>
      </w:pPr>
      <w:rPr/>
    </w:lvl>
    <w:lvl w:ilvl="4" w:tplc="04220019">
      <w:start w:val="1"/>
      <w:numFmt w:val="lowerLetter"/>
      <w:suff w:val="tab"/>
      <w:lvlText w:val="%5."/>
      <w:lvlJc w:val="left"/>
      <w:pPr>
        <w:ind w:hanging="360" w:left="3600"/>
      </w:pPr>
      <w:rPr/>
    </w:lvl>
    <w:lvl w:ilvl="5" w:tplc="0422001B">
      <w:start w:val="1"/>
      <w:numFmt w:val="lowerRoman"/>
      <w:suff w:val="tab"/>
      <w:lvlText w:val="%6."/>
      <w:lvlJc w:val="right"/>
      <w:pPr>
        <w:ind w:hanging="180" w:left="4320"/>
      </w:pPr>
      <w:rPr/>
    </w:lvl>
    <w:lvl w:ilvl="6" w:tplc="0422000F">
      <w:start w:val="1"/>
      <w:numFmt w:val="decimal"/>
      <w:suff w:val="tab"/>
      <w:lvlText w:val="%7."/>
      <w:lvlJc w:val="left"/>
      <w:pPr>
        <w:ind w:hanging="360" w:left="5040"/>
      </w:pPr>
      <w:rPr/>
    </w:lvl>
    <w:lvl w:ilvl="7" w:tplc="04220019">
      <w:start w:val="1"/>
      <w:numFmt w:val="lowerLetter"/>
      <w:suff w:val="tab"/>
      <w:lvlText w:val="%8."/>
      <w:lvlJc w:val="left"/>
      <w:pPr>
        <w:ind w:hanging="360" w:left="5760"/>
      </w:pPr>
      <w:rPr/>
    </w:lvl>
    <w:lvl w:ilvl="8" w:tplc="0422001B">
      <w:start w:val="1"/>
      <w:numFmt w:val="lowerRoman"/>
      <w:suff w:val="tab"/>
      <w:lvlText w:val="%9."/>
      <w:lvlJc w:val="right"/>
      <w:pPr>
        <w:ind w:hanging="180" w:left="6480"/>
      </w:pPr>
      <w:rPr/>
    </w:lvl>
  </w:abstractNum>
  <w:num w:numId="1">
    <w:abstractNumId w:val="6"/>
  </w:num>
  <w:num w:numId="2">
    <w:abstractNumId w:val="2"/>
  </w:num>
  <w:num w:numId="3">
    <w:abstractNumId w:val="1"/>
  </w:num>
  <w:num w:numId="4">
    <w:abstractNumId w:val="0"/>
  </w:num>
  <w:num w:numId="5">
    <w:abstractNumId w:val="4"/>
  </w:num>
  <w:num w:numId="6">
    <w:abstractNumId w:val="3"/>
  </w:num>
  <w:num w:numId="7">
    <w:abstractNumId w:val="5"/>
  </w:num>
</w:numbering>
</file>

<file path=word/settings.xml><?xml version="1.0" encoding="utf-8"?>
<w:settings xmlns:w="http://schemas.openxmlformats.org/wordprocessingml/2006/main">
  <w:displayBackgroundShape w:val="0"/>
  <w:defaultTabStop w:val="709"/>
  <w:autoHyphenation w:val="0"/>
  <w:hyphenationZone w:val="425"/>
  <w:evenAndOddHeaders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clrSchemeMapping w:bg1="light1" w:t1="dark1" w:bg2="light2" w:t2="dark2" w:accent1="accent1" w:accent2="accent2" w:accent3="accent3" w:accent4="accent4" w:accent5="accent5" w:accent6="accent6" w:hyperlink="hyperlink" w:followedHyperlink="followedHyperlink"/>
  <w:footnotePr>
    <w:footnote w:id="-1"/>
    <w:footnote w:id="0"/>
  </w:footnotePr>
  <w:endnotePr>
    <w:endnote w:id="-1"/>
    <w:endnote w:id="0"/>
  </w:endnotePr>
</w:settings>
</file>

<file path=word/styles.xml><?xml version="1.0" encoding="utf-8"?>
<w:styles xmlns:w="http://schemas.openxmlformats.org/wordprocessingml/2006/main">
  <w:docDefaults>
    <w:rPrDefault>
      <w:rPr>
        <w:rFonts w:ascii="Calibri" w:hAnsi="Calibri"/>
        <w:sz w:val="22"/>
        <w:szCs w:val="22"/>
        <w:lang w:val="uk-UA" w:bidi="ar-SA" w:eastAsia="en-US"/>
      </w:rPr>
    </w:rPrDefault>
    <w:pPrDefault>
      <w:pPr>
        <w:keepNext w:val="0"/>
        <w:keepLines w:val="0"/>
        <w:pageBreakBefore w:val="0"/>
        <w:widowControl w:val="1"/>
        <w:suppressLineNumbers w:val="0"/>
        <w:shd w:val="clear" w:fill="auto"/>
        <w:suppressAutoHyphens w:val="0"/>
        <w:spacing w:lineRule="auto" w:line="259" w:before="0" w:after="160" w:beforeAutospacing="0" w:afterAutospacing="0"/>
        <w:ind w:firstLine="0" w:left="0" w:right="0"/>
        <w:contextualSpacing w:val="0"/>
        <w:bidi w:val="0"/>
        <w:jc w:val="left"/>
        <w:outlineLvl w:val="9"/>
      </w:pPr>
    </w:pPrDefault>
  </w:docDefaults>
  <w:style w:type="paragraph" w:styleId="P0" w:default="1">
    <w:name w:val="Normal"/>
    <w:qFormat/>
    <w:pPr/>
    <w:rPr/>
  </w:style>
  <w:style w:type="paragraph" w:styleId="P1">
    <w:name w:val="List Paragraph"/>
    <w:basedOn w:val="P0"/>
    <w:qFormat/>
    <w:pPr>
      <w:ind w:left="720"/>
      <w:contextualSpacing w:val="1"/>
    </w:pPr>
    <w:rPr/>
  </w:style>
  <w:style w:type="paragraph" w:styleId="P2">
    <w:name w:val="Balloon Text"/>
    <w:basedOn w:val="P0"/>
    <w:link w:val="C3"/>
    <w:semiHidden/>
    <w:pPr>
      <w:spacing w:lineRule="auto" w:line="240" w:after="0" w:beforeAutospacing="0" w:afterAutospacing="0"/>
    </w:pPr>
    <w:rPr>
      <w:rFonts w:ascii="Segoe UI" w:hAnsi="Segoe UI"/>
      <w:sz w:val="18"/>
      <w:szCs w:val="18"/>
    </w:rPr>
  </w:style>
  <w:style w:type="paragraph" w:styleId="P3">
    <w:name w:val="header"/>
    <w:basedOn w:val="P0"/>
    <w:link w:val="C4"/>
    <w:pPr>
      <w:tabs>
        <w:tab w:val="center" w:pos="4819" w:leader="none"/>
        <w:tab w:val="right" w:pos="9639" w:leader="none"/>
      </w:tabs>
      <w:spacing w:lineRule="auto" w:line="240" w:after="0" w:beforeAutospacing="0" w:afterAutospacing="0"/>
    </w:pPr>
    <w:rPr/>
  </w:style>
  <w:style w:type="paragraph" w:styleId="P4">
    <w:name w:val="footer"/>
    <w:basedOn w:val="P0"/>
    <w:link w:val="C5"/>
    <w:pPr>
      <w:tabs>
        <w:tab w:val="center" w:pos="4819" w:leader="none"/>
        <w:tab w:val="right" w:pos="9639" w:leader="none"/>
      </w:tabs>
      <w:spacing w:lineRule="auto" w:line="240" w:after="0" w:beforeAutospacing="0" w:afterAutospacing="0"/>
    </w:pPr>
    <w:rPr/>
  </w:style>
  <w:style w:type="paragraph" w:styleId="P5">
    <w:name w:val="annotation text"/>
    <w:basedOn w:val="P0"/>
    <w:link w:val="C7"/>
    <w:semiHidden/>
    <w:pPr>
      <w:spacing w:lineRule="auto" w:line="240" w:beforeAutospacing="0" w:afterAutospacing="0"/>
    </w:pPr>
    <w:rPr>
      <w:sz w:val="20"/>
      <w:szCs w:val="20"/>
    </w:rPr>
  </w:style>
  <w:style w:type="paragraph" w:styleId="P6">
    <w:name w:val="annotation subject"/>
    <w:basedOn w:val="P5"/>
    <w:next w:val="P5"/>
    <w:link w:val="C8"/>
    <w:semiHidden/>
    <w:pPr/>
    <w:rPr>
      <w:b w:val="1"/>
      <w:bCs w:val="1"/>
    </w:rPr>
  </w:style>
  <w:style w:type="paragraph" w:styleId="P7">
    <w:name w:val="Revision"/>
    <w:hidden/>
    <w:semiHidden/>
    <w:pPr>
      <w:spacing w:lineRule="auto" w:line="240" w:after="0" w:beforeAutospacing="0" w:afterAutospacing="0"/>
    </w:pPr>
    <w:rPr/>
  </w:style>
  <w:style w:type="paragraph" w:styleId="P8">
    <w:name w:val="footnote text"/>
    <w:link w:val="C10"/>
    <w:semiHidden/>
    <w:pPr>
      <w:spacing w:lineRule="auto" w:line="240" w:after="0" w:beforeAutospacing="0" w:afterAutospacing="0"/>
    </w:pPr>
    <w:rPr>
      <w:sz w:val="20"/>
      <w:szCs w:val="20"/>
    </w:rPr>
  </w:style>
  <w:style w:type="paragraph" w:styleId="P9">
    <w:name w:val="endnote text"/>
    <w:link w:val="C12"/>
    <w:semiHidden/>
    <w:pPr>
      <w:spacing w:lineRule="auto" w:line="240" w:after="0" w:beforeAutospacing="0" w:afterAutospacing="0"/>
    </w:pPr>
    <w:rPr>
      <w:sz w:val="20"/>
      <w:szCs w:val="20"/>
    </w:rPr>
  </w:style>
  <w:style w:type="character" w:styleId="C0" w:default="1">
    <w:name w:val="Default Paragraph Font"/>
    <w:rPr/>
  </w:style>
  <w:style w:type="character" w:styleId="C1">
    <w:name w:val="Line Number"/>
    <w:basedOn w:val="C0"/>
    <w:semiHidden/>
    <w:rPr/>
  </w:style>
  <w:style w:type="character" w:styleId="C2">
    <w:name w:val="Hyperlink"/>
    <w:rPr>
      <w:color w:val="0000FF"/>
      <w:u w:val="single"/>
    </w:rPr>
  </w:style>
  <w:style w:type="character" w:styleId="C3">
    <w:name w:val="Текст у виносці Знак"/>
    <w:basedOn w:val="C0"/>
    <w:link w:val="P2"/>
    <w:semiHidden/>
    <w:rPr>
      <w:rFonts w:ascii="Segoe UI" w:hAnsi="Segoe UI"/>
      <w:sz w:val="18"/>
      <w:szCs w:val="18"/>
    </w:rPr>
  </w:style>
  <w:style w:type="character" w:styleId="C4">
    <w:name w:val="Верхній колонтитул Знак"/>
    <w:basedOn w:val="C0"/>
    <w:link w:val="P3"/>
    <w:rPr/>
  </w:style>
  <w:style w:type="character" w:styleId="C5">
    <w:name w:val="Нижній колонтитул Знак"/>
    <w:basedOn w:val="C0"/>
    <w:link w:val="P4"/>
    <w:rPr/>
  </w:style>
  <w:style w:type="character" w:styleId="C6">
    <w:name w:val="annotation reference"/>
    <w:basedOn w:val="C0"/>
    <w:semiHidden/>
    <w:rPr>
      <w:sz w:val="16"/>
      <w:szCs w:val="16"/>
    </w:rPr>
  </w:style>
  <w:style w:type="character" w:styleId="C7">
    <w:name w:val="Текст примітки Знак"/>
    <w:basedOn w:val="C0"/>
    <w:link w:val="P5"/>
    <w:semiHidden/>
    <w:rPr>
      <w:sz w:val="20"/>
      <w:szCs w:val="20"/>
    </w:rPr>
  </w:style>
  <w:style w:type="character" w:styleId="C8">
    <w:name w:val="Тема примітки Знак"/>
    <w:basedOn w:val="C7"/>
    <w:link w:val="P6"/>
    <w:semiHidden/>
    <w:rPr>
      <w:b w:val="1"/>
      <w:bCs w:val="1"/>
      <w:sz w:val="20"/>
      <w:szCs w:val="20"/>
    </w:rPr>
  </w:style>
  <w:style w:type="character" w:styleId="C9">
    <w:name w:val="footnote reference"/>
    <w:semiHidden/>
    <w:rPr>
      <w:vertAlign w:val="superscript"/>
    </w:rPr>
  </w:style>
  <w:style w:type="character" w:styleId="C10">
    <w:name w:val="Footnote Text Char"/>
    <w:link w:val="P8"/>
    <w:semiHidden/>
    <w:rPr>
      <w:sz w:val="20"/>
      <w:szCs w:val="20"/>
    </w:rPr>
  </w:style>
  <w:style w:type="character" w:styleId="C11">
    <w:name w:val="endnote reference"/>
    <w:semiHidden/>
    <w:rPr>
      <w:vertAlign w:val="superscript"/>
    </w:rPr>
  </w:style>
  <w:style w:type="character" w:styleId="C12">
    <w:name w:val="Endnote Text Char"/>
    <w:link w:val="P9"/>
    <w:semiHidden/>
    <w:rPr>
      <w:sz w:val="20"/>
      <w:szCs w:val="20"/>
    </w:rPr>
  </w:style>
  <w:style w:type="table" w:styleId="T0" w:default="1">
    <w:name w:val="Normal Table"/>
    <w:semiHidden/>
    <w:tblPr>
      <w:tblInd w:w="0" w:type="dxa"/>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table" w:styleId="T2">
    <w:name w:val="Table Grid"/>
    <w:basedOn w:val="T0"/>
    <w:pPr>
      <w:spacing w:lineRule="auto" w:line="240" w:after="0" w:beforeAutospacing="0" w:afterAutospacing="0"/>
    </w:pPr>
    <w:tblPr>
      <w:tblBorders>
        <w:top w:val="single" w:sz="4" w:space="0" w:shadow="0" w:frame="0" w:color="auto"/>
        <w:left w:val="single" w:sz="4" w:space="0" w:shadow="0" w:frame="0" w:color="auto"/>
        <w:bottom w:val="single" w:sz="4" w:space="0" w:shadow="0" w:frame="0" w:color="auto"/>
        <w:right w:val="single" w:sz="4" w:space="0" w:shadow="0" w:frame="0" w:color="auto"/>
        <w:insideH w:val="single" w:sz="4" w:space="0" w:shadow="0" w:frame="0" w:color="auto"/>
        <w:insideV w:val="single" w:sz="4" w:space="0" w:shadow="0" w:frame="0" w:color="auto"/>
      </w:tblBorders>
    </w:tblPr>
    <w:trPr/>
    <w:tcPr/>
  </w:style>
  <w:style w:type="numbering" w:styleId="N0">
    <w:name w:val="No List"/>
  </w:style>
</w:styles>
</file>

<file path=word/_rels/document.xml.rels>&#65279;<?xml version="1.0" encoding="utf-8"?><Relationships xmlns="http://schemas.openxmlformats.org/package/2006/relationships"><Relationship Id="RelHdr1" Type="http://schemas.openxmlformats.org/officeDocument/2006/relationships/header" Target="header1.xml" /><Relationship Id="RelFnt1" Type="http://schemas.openxmlformats.org/officeDocument/2006/relationships/footnotes" Target="footnotes.xml" /><Relationship Id="RelEnt1" Type="http://schemas.openxmlformats.org/officeDocument/2006/relationships/endnotes" Target="endnotes.xm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 Id="RelItem1" Type="http://schemas.openxmlformats.org/officeDocument/2006/relationships/customXml" Target="../customXml/item1.xml" /></Relationships>
</file>

<file path=word/_rels/endnotes.xml.rels>&#65279;<?xml version="1.0" encoding="utf-8"?><Relationships xmlns="http://schemas.openxmlformats.org/package/2006/relationships" />
</file>

<file path=word/_rels/footnotes.xml.rels>&#65279;<?xml version="1.0" encoding="utf-8"?><Relationships xmlns="http://schemas.openxmlformats.org/package/2006/relationships" />
</file>

<file path=word/_rels/header1.xml.rels>&#65279;<?xml version="1.0" encoding="utf-8"?><Relationships xmlns="http://schemas.openxmlformats.org/package/2006/relationships" />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mpd="sng" algn="ctr">
          <a:solidFill>
            <a:schemeClr val="phClr"/>
          </a:solidFill>
          <a:prstDash val="solid"/>
          <a:miter lim="800000"/>
        </a:ln>
        <a:ln w="12700" cmpd="sng" algn="ctr">
          <a:solidFill>
            <a:schemeClr val="phClr"/>
          </a:solidFill>
          <a:prstDash val="solid"/>
          <a:miter lim="800000"/>
        </a:ln>
        <a:ln w="19050"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a3f4a-e469-478b-a814-da5c3007e29a}">
  <ds:schemaRefs>
    <ds:schemaRef ds:uri="http://schemas.microsoft.com/vsto/samples"/>
  </ds:schemaRefs>
</ds:datastoreItem>
</file>

<file path=docProps/app.xml><?xml version="1.0" encoding="utf-8"?>
<Properties xmlns="http://schemas.openxmlformats.org/officeDocument/2006/extended-properties">
  <Application>DevExpress Office File API/21.1.3.0</Application>
  <AppVersion>21.1</AppVersion>
  <Company>SPecialiST RePack</Company>
  <Template>Normal.dotm</Template>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Prudka O.V.</dc:creator>
  <dcterms:created xsi:type="dcterms:W3CDTF">2021-10-23T06:16:00Z</dcterms:created>
  <cp:lastModifiedBy>erp_adm</cp:lastModifiedBy>
  <cp:lastPrinted>2021-10-23T07:40:00Z</cp:lastPrinted>
  <dcterms:modified xsi:type="dcterms:W3CDTF">2021-11-16T07:28:32Z</dcterms:modified>
  <cp:revision>25</cp:revision>
</cp:coreProperties>
</file>